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908" w:leader="none"/>
          <w:tab w:val="left" w:pos="7305" w:leader="none"/>
        </w:tabs>
        <w:spacing w:lineRule="auto" w:line="240" w:before="0" w:after="0"/>
        <w:ind w:right="-178"/>
        <w:jc w:val="center"/>
        <w:rPr>
          <w:rFonts w:ascii="Arial" w:hAnsi="Arial" w:eastAsia="Times New Roman" w:cs="Arial"/>
          <w:b/>
        </w:rPr>
      </w:pPr>
      <w:r>
        <w:rPr>
          <w:rFonts w:eastAsia="Times New Roman" w:cs="Arial" w:ascii="Arial" w:hAnsi="Arial"/>
          <w:b/>
        </w:rPr>
        <w:t>REIKALAVIMAI TIEKĖJŲ KVALIFIKACIJAI</w:t>
      </w:r>
    </w:p>
    <w:p>
      <w:pPr>
        <w:pStyle w:val="ListParagraph"/>
        <w:tabs>
          <w:tab w:val="clear" w:pos="1296"/>
          <w:tab w:val="left" w:pos="709" w:leader="none"/>
        </w:tabs>
        <w:spacing w:lineRule="auto" w:line="240" w:before="0" w:after="0"/>
        <w:ind w:left="0"/>
        <w:contextualSpacing/>
        <w:jc w:val="both"/>
        <w:rPr>
          <w:rFonts w:ascii="Arial" w:hAnsi="Arial" w:eastAsia="Times New Roman" w:cs="Arial"/>
          <w:bCs/>
          <w:lang w:val="lt-LT"/>
        </w:rPr>
      </w:pPr>
      <w:r>
        <w:rPr>
          <w:rFonts w:eastAsia="Times New Roman" w:cs="Arial" w:ascii="Arial" w:hAnsi="Arial"/>
          <w:bCs/>
          <w:lang w:val="lt-LT"/>
        </w:rPr>
      </w:r>
    </w:p>
    <w:p>
      <w:pPr>
        <w:pStyle w:val="ListParagraph"/>
        <w:spacing w:lineRule="auto" w:line="240" w:before="0" w:after="0"/>
        <w:ind w:firstLine="709" w:left="0"/>
        <w:contextualSpacing/>
        <w:jc w:val="both"/>
        <w:rPr>
          <w:rFonts w:ascii="Arial" w:hAnsi="Arial" w:cs="Arial"/>
          <w:lang w:val="lt-LT"/>
        </w:rPr>
      </w:pPr>
      <w:r>
        <w:rPr>
          <w:rFonts w:cs="Arial" w:ascii="Arial" w:hAnsi="Arial"/>
          <w:bCs/>
          <w:lang w:val="lt-LT"/>
        </w:rPr>
        <w:t xml:space="preserve">Tiekėjas turi neatitikti žemiau nurodytus reikalavimus dėl pašalinimo pagrindų nebuvimo </w:t>
      </w:r>
      <w:r>
        <w:rPr>
          <w:rFonts w:cs="Arial" w:ascii="Arial" w:hAnsi="Arial"/>
          <w:bCs/>
          <w:i/>
          <w:iCs/>
          <w:lang w:val="lt-LT"/>
        </w:rPr>
        <w:t>(Eil. Nr. 1-11)</w:t>
      </w:r>
      <w:r>
        <w:rPr>
          <w:rFonts w:cs="Arial" w:ascii="Arial" w:hAnsi="Arial"/>
          <w:bCs/>
          <w:lang w:val="lt-LT"/>
        </w:rPr>
        <w:t xml:space="preserve"> </w:t>
      </w:r>
      <w:r>
        <w:rPr>
          <w:rFonts w:cs="Arial" w:ascii="Arial" w:hAnsi="Arial"/>
          <w:lang w:val="lt-LT"/>
        </w:rPr>
        <w:t>ir atitikti kvalifikacijos reikalavimus. Tiekėjo kvalifikacija turi būti įgyta iki pasiūlymų</w:t>
      </w:r>
      <w:r>
        <w:rPr>
          <w:rFonts w:cs="Arial" w:ascii="Arial" w:hAnsi="Arial"/>
          <w:color w:themeColor="text2" w:val="44546A"/>
          <w:lang w:val="lt-LT"/>
        </w:rPr>
        <w:t xml:space="preserve"> </w:t>
      </w:r>
      <w:r>
        <w:rPr>
          <w:rFonts w:cs="Arial" w:ascii="Arial" w:hAnsi="Arial"/>
          <w:lang w:val="lt-LT"/>
        </w:rPr>
        <w:t xml:space="preserve">pateikimo termino pabaigos. </w:t>
      </w:r>
    </w:p>
    <w:tbl>
      <w:tblPr>
        <w:tblpPr w:vertAnchor="text" w:horzAnchor="margin" w:leftFromText="180" w:rightFromText="180" w:tblpX="0" w:tblpY="409"/>
        <w:tblOverlap w:val="never"/>
        <w:tblW w:w="5000" w:type="pct"/>
        <w:jc w:val="left"/>
        <w:tblInd w:w="-5" w:type="dxa"/>
        <w:tblLayout w:type="fixed"/>
        <w:tblCellMar>
          <w:top w:w="0" w:type="dxa"/>
          <w:left w:w="108" w:type="dxa"/>
          <w:bottom w:w="0" w:type="dxa"/>
          <w:right w:w="108" w:type="dxa"/>
        </w:tblCellMar>
        <w:tblLook w:firstRow="1" w:noVBand="1" w:lastRow="0" w:firstColumn="1" w:lastColumn="0" w:noHBand="0" w:val="04a0"/>
      </w:tblPr>
      <w:tblGrid>
        <w:gridCol w:w="752"/>
        <w:gridCol w:w="5589"/>
        <w:gridCol w:w="1812"/>
        <w:gridCol w:w="5586"/>
        <w:gridCol w:w="1965"/>
      </w:tblGrid>
      <w:tr>
        <w:trPr/>
        <w:tc>
          <w:tcPr>
            <w:tcW w:w="15704" w:type="dxa"/>
            <w:gridSpan w:val="5"/>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1 lentelė. Tiekėjų pašalinimo pagrindai</w:t>
            </w:r>
          </w:p>
        </w:tc>
      </w:tr>
      <w:tr>
        <w:trPr>
          <w:trHeight w:val="865" w:hRule="atLeast"/>
        </w:trPr>
        <w:tc>
          <w:tcPr>
            <w:tcW w:w="752"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Eil. Nr.</w:t>
            </w:r>
          </w:p>
        </w:tc>
        <w:tc>
          <w:tcPr>
            <w:tcW w:w="5589"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eastAsia="Yu Mincho" w:cs="Arial" w:ascii="Arial" w:hAnsi="Arial"/>
                <w:b/>
                <w:lang w:eastAsia="lt-LT"/>
              </w:rPr>
              <w:t>Tiekėjo pašalinimo pagrindai</w:t>
            </w:r>
          </w:p>
        </w:tc>
        <w:tc>
          <w:tcPr>
            <w:tcW w:w="1812" w:type="dxa"/>
            <w:tcBorders>
              <w:top w:val="single" w:sz="4" w:space="0" w:color="000000"/>
              <w:left w:val="single" w:sz="4" w:space="0" w:color="000000"/>
              <w:bottom w:val="single" w:sz="4" w:space="0" w:color="000000"/>
              <w:right w:val="single" w:sz="4" w:space="0" w:color="000000"/>
            </w:tcBorders>
            <w:shd w:color="auto" w:fill="92D050" w:val="clear"/>
          </w:tcPr>
          <w:p>
            <w:pPr>
              <w:pStyle w:val="Normal"/>
              <w:spacing w:lineRule="auto" w:line="240" w:before="0" w:after="0"/>
              <w:jc w:val="both"/>
              <w:rPr>
                <w:rFonts w:ascii="Arial" w:hAnsi="Arial" w:cs="Arial"/>
                <w:b/>
              </w:rPr>
            </w:pPr>
            <w:r>
              <w:rPr>
                <w:rFonts w:eastAsia="Yu Mincho" w:cs="Arial" w:ascii="Arial" w:hAnsi="Arial"/>
                <w:b/>
              </w:rPr>
              <w:t>VPĮ straipsnis,  dalis, punktas bei EBVPD formos dalis pildymui</w:t>
            </w:r>
          </w:p>
        </w:tc>
        <w:tc>
          <w:tcPr>
            <w:tcW w:w="5586"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Pašalinimo pagrindų nebuvimą įrodantys dokumentai</w:t>
            </w:r>
          </w:p>
        </w:tc>
        <w:tc>
          <w:tcPr>
            <w:tcW w:w="1965" w:type="dxa"/>
            <w:tcBorders>
              <w:top w:val="single" w:sz="4" w:space="0" w:color="000000"/>
              <w:left w:val="single" w:sz="4" w:space="0" w:color="000000"/>
              <w:bottom w:val="single" w:sz="4" w:space="0" w:color="000000"/>
              <w:right w:val="single" w:sz="4" w:space="0" w:color="000000"/>
            </w:tcBorders>
            <w:shd w:color="auto" w:fill="92D050" w:val="clear"/>
          </w:tcPr>
          <w:p>
            <w:pPr>
              <w:pStyle w:val="Normal"/>
              <w:spacing w:lineRule="auto" w:line="240" w:before="0" w:after="0"/>
              <w:jc w:val="both"/>
              <w:rPr>
                <w:rFonts w:ascii="Arial" w:hAnsi="Arial" w:cs="Arial"/>
                <w:b/>
              </w:rPr>
            </w:pPr>
            <w:r>
              <w:rPr>
                <w:rFonts w:cs="Arial" w:ascii="Arial" w:hAnsi="Arial"/>
                <w:b/>
              </w:rPr>
              <w:t>Subjektas ir / ar ūkio subjektas, kurio pajėgumais remiamasi,  kuris / -ie turi neturėti pašalinimo pagrindų</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w:t>
            </w:r>
          </w:p>
        </w:tc>
        <w:tc>
          <w:tcPr>
            <w:tcW w:w="5589"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Tiekėjas arba jo atsakingas asmuo, nurodytas VPĮ 46 straipsnio 2 dalies 2 punkte, nuteistas už šią nusikalstamą veiką:</w:t>
            </w:r>
          </w:p>
          <w:p>
            <w:pPr>
              <w:pStyle w:val="NoSpacing"/>
              <w:jc w:val="both"/>
              <w:rPr>
                <w:rFonts w:ascii="Arial" w:hAnsi="Arial" w:cs="Arial"/>
                <w:sz w:val="22"/>
                <w:szCs w:val="22"/>
                <w:lang w:eastAsia="en-US"/>
              </w:rPr>
            </w:pPr>
            <w:r>
              <w:rPr>
                <w:rFonts w:cs="Arial" w:ascii="Arial" w:hAnsi="Arial"/>
                <w:sz w:val="22"/>
                <w:szCs w:val="22"/>
                <w:lang w:eastAsia="en-US"/>
              </w:rPr>
              <w:t>1) dalyvavimą nusikalstamame susivienijime, jo organizavimą ar vadovavimą jam;</w:t>
            </w:r>
          </w:p>
          <w:p>
            <w:pPr>
              <w:pStyle w:val="NoSpacing"/>
              <w:jc w:val="both"/>
              <w:rPr>
                <w:rFonts w:ascii="Arial" w:hAnsi="Arial" w:cs="Arial"/>
                <w:sz w:val="22"/>
                <w:szCs w:val="22"/>
                <w:lang w:eastAsia="en-US"/>
              </w:rPr>
            </w:pPr>
            <w:r>
              <w:rPr>
                <w:rFonts w:cs="Arial" w:ascii="Arial" w:hAnsi="Arial"/>
                <w:sz w:val="22"/>
                <w:szCs w:val="22"/>
                <w:lang w:eastAsia="en-US"/>
              </w:rPr>
              <w:t>2) kyšininkavimą, prekybą poveikiu, papirkimą;</w:t>
            </w:r>
          </w:p>
          <w:p>
            <w:pPr>
              <w:pStyle w:val="NoSpacing"/>
              <w:jc w:val="both"/>
              <w:rPr>
                <w:rFonts w:ascii="Arial" w:hAnsi="Arial" w:cs="Arial"/>
                <w:sz w:val="22"/>
                <w:szCs w:val="22"/>
                <w:lang w:eastAsia="en-US"/>
              </w:rPr>
            </w:pPr>
            <w:r>
              <w:rPr>
                <w:rFonts w:cs="Arial" w:ascii="Arial" w:hAnsi="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sz w:val="22"/>
                <w:szCs w:val="22"/>
                <w:lang w:eastAsia="en-US"/>
              </w:rPr>
            </w:pPr>
            <w:r>
              <w:rPr>
                <w:rFonts w:cs="Arial" w:ascii="Arial" w:hAnsi="Arial"/>
                <w:sz w:val="22"/>
                <w:szCs w:val="22"/>
                <w:lang w:eastAsia="en-US"/>
              </w:rPr>
              <w:t>4) nusikalstamą bankrotą;</w:t>
            </w:r>
          </w:p>
          <w:p>
            <w:pPr>
              <w:pStyle w:val="NoSpacing"/>
              <w:jc w:val="both"/>
              <w:rPr>
                <w:rFonts w:ascii="Arial" w:hAnsi="Arial" w:cs="Arial"/>
                <w:sz w:val="22"/>
                <w:szCs w:val="22"/>
                <w:lang w:eastAsia="en-US"/>
              </w:rPr>
            </w:pPr>
            <w:r>
              <w:rPr>
                <w:rFonts w:cs="Arial" w:ascii="Arial" w:hAnsi="Arial"/>
                <w:sz w:val="22"/>
                <w:szCs w:val="22"/>
                <w:lang w:eastAsia="en-US"/>
              </w:rPr>
              <w:t>5) teroristinį ir su teroristine veikla susijusį nusikaltimą;</w:t>
            </w:r>
          </w:p>
          <w:p>
            <w:pPr>
              <w:pStyle w:val="NoSpacing"/>
              <w:jc w:val="both"/>
              <w:rPr>
                <w:rFonts w:ascii="Arial" w:hAnsi="Arial" w:cs="Arial"/>
                <w:sz w:val="22"/>
                <w:szCs w:val="22"/>
                <w:lang w:eastAsia="en-US"/>
              </w:rPr>
            </w:pPr>
            <w:r>
              <w:rPr>
                <w:rFonts w:cs="Arial" w:ascii="Arial" w:hAnsi="Arial"/>
                <w:sz w:val="22"/>
                <w:szCs w:val="22"/>
                <w:lang w:eastAsia="en-US"/>
              </w:rPr>
              <w:t>6) nusikalstamu būdu gauto turto legalizavimą;</w:t>
            </w:r>
          </w:p>
          <w:p>
            <w:pPr>
              <w:pStyle w:val="NoSpacing"/>
              <w:jc w:val="both"/>
              <w:rPr>
                <w:rFonts w:ascii="Arial" w:hAnsi="Arial" w:cs="Arial"/>
                <w:sz w:val="22"/>
                <w:szCs w:val="22"/>
                <w:lang w:eastAsia="en-US"/>
              </w:rPr>
            </w:pPr>
            <w:r>
              <w:rPr>
                <w:rFonts w:cs="Arial" w:ascii="Arial" w:hAnsi="Arial"/>
                <w:sz w:val="22"/>
                <w:szCs w:val="22"/>
                <w:lang w:eastAsia="en-US"/>
              </w:rPr>
              <w:t>7) prekybą žmonėmis, vaiko pirkimą arba pardavimą;</w:t>
            </w:r>
          </w:p>
          <w:p>
            <w:pPr>
              <w:pStyle w:val="NoSpacing"/>
              <w:jc w:val="both"/>
              <w:rPr>
                <w:rFonts w:ascii="Arial" w:hAnsi="Arial" w:cs="Arial"/>
                <w:sz w:val="22"/>
                <w:szCs w:val="22"/>
                <w:lang w:eastAsia="en-US"/>
              </w:rPr>
            </w:pPr>
            <w:r>
              <w:rPr>
                <w:rFonts w:cs="Arial" w:ascii="Arial" w:hAnsi="Arial"/>
                <w:sz w:val="22"/>
                <w:szCs w:val="22"/>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sz w:val="22"/>
                <w:szCs w:val="22"/>
                <w:lang w:eastAsia="en-US"/>
              </w:rPr>
            </w:pPr>
            <w:r>
              <w:rPr>
                <w:rFonts w:cs="Arial" w:ascii="Arial" w:hAnsi="Arial"/>
                <w:sz w:val="22"/>
                <w:szCs w:val="22"/>
                <w:lang w:eastAsia="en-US"/>
              </w:rPr>
            </w:r>
          </w:p>
          <w:p>
            <w:pPr>
              <w:pStyle w:val="NoSpacing"/>
              <w:jc w:val="both"/>
              <w:rPr>
                <w:rFonts w:ascii="Arial" w:hAnsi="Arial" w:cs="Arial"/>
                <w:sz w:val="22"/>
                <w:szCs w:val="22"/>
                <w:lang w:eastAsia="en-US"/>
              </w:rPr>
            </w:pPr>
            <w:r>
              <w:rPr>
                <w:rFonts w:cs="Arial" w:ascii="Arial" w:hAnsi="Arial"/>
                <w:sz w:val="22"/>
                <w:szCs w:val="22"/>
                <w:lang w:eastAsia="en-US"/>
              </w:rPr>
              <w:t>Laikoma, kad tiekėjas arba jo atsakingas asmuo nuteistas už aukščiau nurodytą nusikalstamą veiką, kai dėl:</w:t>
            </w:r>
          </w:p>
          <w:p>
            <w:pPr>
              <w:pStyle w:val="NoSpacing"/>
              <w:jc w:val="both"/>
              <w:rPr>
                <w:rFonts w:ascii="Arial" w:hAnsi="Arial" w:cs="Arial"/>
                <w:sz w:val="22"/>
                <w:szCs w:val="22"/>
                <w:lang w:eastAsia="en-US"/>
              </w:rPr>
            </w:pPr>
            <w:r>
              <w:rPr>
                <w:rFonts w:cs="Arial" w:ascii="Arial" w:hAnsi="Arial"/>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color w:val="FF0000"/>
                <w:sz w:val="22"/>
                <w:szCs w:val="22"/>
                <w:lang w:eastAsia="en-US"/>
              </w:rPr>
            </w:pPr>
            <w:r>
              <w:rPr>
                <w:rFonts w:cs="Arial" w:ascii="Arial" w:hAnsi="Arial"/>
                <w:b/>
                <w:color w:val="FF0000"/>
                <w:sz w:val="22"/>
                <w:szCs w:val="22"/>
                <w:lang w:eastAsia="en-US"/>
              </w:rPr>
              <w:t>Tarptautinės vertės pirkimui:</w:t>
            </w:r>
          </w:p>
          <w:p>
            <w:pPr>
              <w:pStyle w:val="NoSpacing"/>
              <w:jc w:val="both"/>
              <w:rPr>
                <w:rFonts w:ascii="Arial" w:hAnsi="Arial" w:cs="Arial"/>
                <w:i/>
                <w:i/>
                <w:iCs/>
                <w:sz w:val="22"/>
                <w:szCs w:val="22"/>
                <w:lang w:eastAsia="en-US"/>
              </w:rPr>
            </w:pPr>
            <w:r>
              <w:rPr>
                <w:rFonts w:cs="Arial" w:ascii="Arial" w:hAnsi="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Spacing"/>
              <w:jc w:val="both"/>
              <w:rPr>
                <w:rFonts w:ascii="Arial" w:hAnsi="Arial" w:cs="Arial"/>
                <w:i/>
                <w:i/>
                <w:iCs/>
                <w:sz w:val="22"/>
                <w:szCs w:val="22"/>
                <w:lang w:eastAsia="en-US"/>
              </w:rPr>
            </w:pPr>
            <w:r>
              <w:rPr>
                <w:rFonts w:cs="Arial" w:ascii="Arial" w:hAnsi="Arial"/>
                <w:i/>
                <w:iCs/>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color w:val="00B050"/>
                <w:sz w:val="22"/>
                <w:szCs w:val="22"/>
                <w:lang w:eastAsia="en-US"/>
              </w:rPr>
            </w:pPr>
            <w:r>
              <w:rPr>
                <w:rFonts w:cs="Arial" w:ascii="Arial" w:hAnsi="Arial"/>
                <w:color w:val="00B050"/>
                <w:sz w:val="22"/>
                <w:szCs w:val="22"/>
                <w:lang w:eastAsia="en-US"/>
              </w:rPr>
            </w:r>
          </w:p>
          <w:p>
            <w:pPr>
              <w:pStyle w:val="NoSpacing"/>
              <w:jc w:val="both"/>
              <w:rPr>
                <w:rFonts w:ascii="Arial" w:hAnsi="Arial" w:cs="Arial"/>
                <w:color w:val="00B050"/>
                <w:sz w:val="22"/>
                <w:szCs w:val="22"/>
                <w:lang w:eastAsia="en-US"/>
              </w:rPr>
            </w:pPr>
            <w:r>
              <w:rPr>
                <w:rFonts w:cs="Arial" w:ascii="Arial" w:hAnsi="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1 dalis</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t>EBVPD III dalies A1-A6 punktai</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rmal"/>
              <w:spacing w:lineRule="auto" w:line="240" w:before="0" w:after="0"/>
              <w:jc w:val="both"/>
              <w:rPr>
                <w:rFonts w:ascii="Arial" w:hAnsi="Arial" w:cs="Arial"/>
                <w:bCs/>
              </w:rPr>
            </w:pPr>
            <w:r>
              <w:rPr>
                <w:rFonts w:eastAsia="Yu Mincho" w:cs="Arial" w:ascii="Arial" w:hAnsi="Arial"/>
              </w:rPr>
              <w:t>EBVPD III dalies D1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lang w:eastAsia="en-US"/>
              </w:rPr>
              <w:t>Iš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išrašo iš teismo sprendimo arba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Informatikos ir ryšių departamento prie Vidaus reikalų ministerijos pažymos, arba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2"/>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rmal"/>
              <w:spacing w:lineRule="auto" w:line="240" w:before="0" w:after="0"/>
              <w:jc w:val="both"/>
              <w:rPr>
                <w:rFonts w:ascii="Arial" w:hAnsi="Arial" w:cs="Arial"/>
              </w:rPr>
            </w:pPr>
            <w:r>
              <w:rPr>
                <w:rFonts w:cs="Arial" w:ascii="Arial" w:hAnsi="Arial"/>
              </w:rPr>
              <w:t xml:space="preserve">Nurodyti dokumentai turi būti išduoti ne anksčiau kaip </w:t>
            </w:r>
            <w:r>
              <w:rPr>
                <w:rFonts w:cs="Arial" w:ascii="Arial" w:hAnsi="Arial"/>
                <w:color w:val="00B050"/>
              </w:rPr>
              <w:t xml:space="preserve">180 dienų </w:t>
            </w:r>
            <w:r>
              <w:rPr>
                <w:rFonts w:cs="Arial" w:ascii="Arial" w:hAnsi="Arial"/>
              </w:rPr>
              <w:t xml:space="preserve">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jc w:val="both"/>
              <w:rPr>
                <w:rFonts w:ascii="Arial" w:hAnsi="Arial" w:cs="Arial"/>
                <w:b/>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rmal"/>
              <w:spacing w:lineRule="auto" w:line="240" w:before="0" w:after="0"/>
              <w:jc w:val="both"/>
              <w:rPr>
                <w:rFonts w:ascii="Arial" w:hAnsi="Arial" w:cs="Arial"/>
                <w:bCs/>
                <w:i/>
                <w:i/>
                <w:iCs/>
              </w:rPr>
            </w:pPr>
            <w:r>
              <w:rPr>
                <w:rFonts w:cs="Arial" w:ascii="Arial" w:hAnsi="Arial"/>
                <w:bCs/>
                <w:i/>
                <w:iCs/>
              </w:rPr>
              <w:t>Pažymų, patvirtinančių VPĮ 46 straipsnyje nurodytų tiekėjo pašalinimo pagrindų nebuvimą, pateikti nereikalaujama. Jų perkančioji organizacija reikalaus tik turėdama pagrįstų abejonių dėl tiekėjo patikimumo.</w:t>
            </w:r>
          </w:p>
          <w:p>
            <w:pPr>
              <w:pStyle w:val="Normal"/>
              <w:spacing w:lineRule="auto" w:line="240" w:before="0" w:after="0"/>
              <w:jc w:val="both"/>
              <w:rPr>
                <w:rFonts w:ascii="Arial" w:hAnsi="Arial" w:cs="Arial"/>
                <w:bCs/>
                <w:i/>
                <w:i/>
                <w:iCs/>
              </w:rPr>
            </w:pPr>
            <w:r>
              <w:rPr>
                <w:rFonts w:cs="Arial" w:ascii="Arial" w:hAnsi="Arial"/>
                <w:bCs/>
                <w:i/>
                <w:iCs/>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2.</w:t>
            </w:r>
          </w:p>
        </w:tc>
        <w:tc>
          <w:tcPr>
            <w:tcW w:w="5589"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Tiekėjas yra neatlikęs jam paskirtos baudžiamojo poveikio priemonės – uždraudimo juridiniam asmeniui dalyvauti viešuosiuose pirkimuose.</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2¹ dalis</w:t>
            </w:r>
          </w:p>
          <w:p>
            <w:pPr>
              <w:pStyle w:val="NoSpacing"/>
              <w:jc w:val="both"/>
              <w:rPr>
                <w:rFonts w:ascii="Arial" w:hAnsi="Arial" w:eastAsia="Yu Mincho" w:cs="Arial"/>
                <w:b/>
                <w:bCs/>
                <w:sz w:val="22"/>
                <w:szCs w:val="22"/>
              </w:rPr>
            </w:pPr>
            <w:r>
              <w:rPr>
                <w:rFonts w:eastAsia="Yu Mincho" w:cs="Arial" w:ascii="Arial" w:hAnsi="Arial"/>
                <w:b/>
                <w:bCs/>
                <w:sz w:val="22"/>
                <w:szCs w:val="22"/>
              </w:rPr>
            </w:r>
          </w:p>
          <w:p>
            <w:pPr>
              <w:pStyle w:val="NoSpacing"/>
              <w:jc w:val="both"/>
              <w:rPr>
                <w:rFonts w:ascii="Arial" w:hAnsi="Arial" w:eastAsia="Yu Mincho" w:cs="Arial"/>
                <w:b/>
                <w:bCs/>
                <w:sz w:val="22"/>
                <w:szCs w:val="22"/>
              </w:rPr>
            </w:pPr>
            <w:r>
              <w:rPr>
                <w:rFonts w:eastAsia="Yu Mincho" w:cs="Arial" w:ascii="Arial" w:hAnsi="Arial"/>
                <w:sz w:val="22"/>
                <w:szCs w:val="22"/>
                <w:lang w:eastAsia="en-US"/>
              </w:rPr>
              <w:t>EBVPD III dalies D2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color w:val="FFC000"/>
                <w:sz w:val="22"/>
                <w:szCs w:val="22"/>
                <w:lang w:eastAsia="en-US"/>
              </w:rPr>
            </w:pPr>
            <w:r>
              <w:rPr>
                <w:rFonts w:cs="Arial" w:ascii="Arial" w:hAnsi="Arial"/>
                <w:sz w:val="22"/>
                <w:szCs w:val="22"/>
                <w:lang w:eastAsia="en-US"/>
              </w:rPr>
              <w:t>Iš Lietuvoje įsteigtų subjektų įrodančių dokumentų nereikalaujama. Užtenka pateikto EBVPD.</w:t>
            </w:r>
          </w:p>
        </w:tc>
        <w:tc>
          <w:tcPr>
            <w:tcW w:w="1965"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328" w:leader="none"/>
              </w:tabs>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3.</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b/>
                <w:bCs/>
                <w:sz w:val="22"/>
                <w:szCs w:val="22"/>
                <w:lang w:eastAsia="en-US"/>
              </w:rPr>
            </w:pPr>
            <w:r>
              <w:rPr>
                <w:rFonts w:cs="Arial" w:ascii="Arial" w:hAnsi="Arial"/>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2"/>
                <w:szCs w:val="22"/>
                <w:lang w:eastAsia="en-US"/>
              </w:rPr>
            </w:pPr>
            <w:r>
              <w:rPr>
                <w:rFonts w:cs="Arial" w:ascii="Arial" w:hAnsi="Arial"/>
                <w:bCs/>
                <w:sz w:val="22"/>
                <w:szCs w:val="22"/>
                <w:lang w:eastAsia="en-US"/>
              </w:rPr>
              <w:t>Laikoma, kad tiekėjas nuteistas už aukščiau nurodytą nusikalstamą veiką, kai dėl:</w:t>
            </w:r>
          </w:p>
          <w:p>
            <w:pPr>
              <w:pStyle w:val="NoSpacing"/>
              <w:jc w:val="both"/>
              <w:rPr>
                <w:rFonts w:ascii="Arial" w:hAnsi="Arial" w:cs="Arial"/>
                <w:b/>
                <w:bCs/>
                <w:sz w:val="22"/>
                <w:szCs w:val="22"/>
                <w:lang w:eastAsia="en-US"/>
              </w:rPr>
            </w:pPr>
            <w:r>
              <w:rPr>
                <w:rFonts w:cs="Arial" w:ascii="Arial" w:hAnsi="Arial"/>
                <w:bCs/>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2"/>
                <w:szCs w:val="22"/>
                <w:lang w:eastAsia="en-US"/>
              </w:rPr>
            </w:pPr>
            <w:r>
              <w:rPr>
                <w:rFonts w:cs="Arial" w:ascii="Arial" w:hAnsi="Arial"/>
                <w:bCs/>
                <w:sz w:val="22"/>
                <w:szCs w:val="22"/>
                <w:lang w:eastAsia="en-US"/>
              </w:rPr>
              <w:t xml:space="preserve">2) tiekėjo, kuris yra juridinis asmuo, kita organizacija ar jos </w:t>
            </w:r>
            <w:r>
              <w:rPr>
                <w:rFonts w:cs="Arial" w:ascii="Arial" w:hAnsi="Arial"/>
                <w:sz w:val="22"/>
                <w:szCs w:val="22"/>
              </w:rPr>
              <w:t xml:space="preserve"> </w:t>
            </w:r>
            <w:r>
              <w:rPr>
                <w:rFonts w:cs="Arial" w:ascii="Arial" w:hAnsi="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pPr>
              <w:pStyle w:val="NoSpacing"/>
              <w:jc w:val="both"/>
              <w:rPr>
                <w:rFonts w:ascii="Arial" w:hAnsi="Arial" w:cs="Arial"/>
                <w:b/>
                <w:bCs/>
                <w:sz w:val="22"/>
                <w:szCs w:val="22"/>
                <w:lang w:eastAsia="en-US"/>
              </w:rPr>
            </w:pPr>
            <w:r>
              <w:rPr>
                <w:rFonts w:cs="Arial" w:ascii="Arial" w:hAnsi="Arial"/>
                <w:b/>
                <w:bCs/>
                <w:sz w:val="22"/>
                <w:szCs w:val="22"/>
                <w:lang w:eastAsia="en-US"/>
              </w:rPr>
            </w:r>
          </w:p>
          <w:p>
            <w:pPr>
              <w:pStyle w:val="NoSpacing"/>
              <w:jc w:val="both"/>
              <w:rPr>
                <w:rFonts w:ascii="Arial" w:hAnsi="Arial" w:cs="Arial"/>
                <w:b/>
                <w:bCs/>
                <w:sz w:val="22"/>
                <w:szCs w:val="22"/>
                <w:lang w:eastAsia="en-US"/>
              </w:rPr>
            </w:pPr>
            <w:r>
              <w:rPr>
                <w:rFonts w:cs="Arial" w:ascii="Arial" w:hAnsi="Arial"/>
                <w:bCs/>
                <w:sz w:val="22"/>
                <w:szCs w:val="22"/>
                <w:lang w:eastAsia="en-US"/>
              </w:rPr>
              <w:t>Tačiau ši nuostata netaikoma, jeigu:</w:t>
            </w:r>
          </w:p>
          <w:p>
            <w:pPr>
              <w:pStyle w:val="NoSpacing"/>
              <w:jc w:val="both"/>
              <w:rPr>
                <w:rFonts w:ascii="Arial" w:hAnsi="Arial" w:cs="Arial"/>
                <w:b/>
                <w:bCs/>
                <w:sz w:val="22"/>
                <w:szCs w:val="22"/>
                <w:lang w:eastAsia="en-US"/>
              </w:rPr>
            </w:pPr>
            <w:r>
              <w:rPr>
                <w:rFonts w:cs="Arial" w:ascii="Arial" w:hAnsi="Arial"/>
                <w:bCs/>
                <w:sz w:val="22"/>
                <w:szCs w:val="22"/>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2"/>
                <w:szCs w:val="22"/>
                <w:lang w:eastAsia="en-US"/>
              </w:rPr>
            </w:pPr>
            <w:bookmarkStart w:id="0" w:name="_Hlk123819718"/>
            <w:r>
              <w:rPr>
                <w:rFonts w:cs="Arial" w:ascii="Arial" w:hAnsi="Arial"/>
                <w:bCs/>
                <w:sz w:val="22"/>
                <w:szCs w:val="22"/>
                <w:lang w:eastAsia="en-US"/>
              </w:rPr>
              <w:t>2) įsiskolinimo suma neviršija 50 Eur (penkiasdešimt eurų);</w:t>
            </w:r>
            <w:bookmarkEnd w:id="0"/>
          </w:p>
          <w:p>
            <w:pPr>
              <w:pStyle w:val="Normal"/>
              <w:spacing w:lineRule="auto" w:line="240" w:before="0" w:after="0"/>
              <w:jc w:val="both"/>
              <w:rPr>
                <w:rFonts w:ascii="Arial" w:hAnsi="Arial" w:cs="Arial"/>
                <w:bCs/>
              </w:rPr>
            </w:pPr>
            <w:r>
              <w:rPr>
                <w:rFonts w:cs="Arial" w:ascii="Arial" w:hAnsi="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3 dalis</w:t>
            </w:r>
          </w:p>
          <w:p>
            <w:pPr>
              <w:pStyle w:val="NoSpacing"/>
              <w:jc w:val="both"/>
              <w:rPr>
                <w:rFonts w:ascii="Arial" w:hAnsi="Arial" w:eastAsia="Arial" w:cs="Arial"/>
                <w:sz w:val="22"/>
                <w:szCs w:val="22"/>
              </w:rPr>
            </w:pPr>
            <w:r>
              <w:rPr>
                <w:rFonts w:eastAsia="Arial" w:cs="Arial" w:ascii="Arial" w:hAnsi="Arial"/>
                <w:sz w:val="22"/>
                <w:szCs w:val="22"/>
              </w:rPr>
            </w:r>
          </w:p>
          <w:p>
            <w:pPr>
              <w:pStyle w:val="NoSpacing"/>
              <w:jc w:val="both"/>
              <w:rPr>
                <w:rFonts w:ascii="Arial" w:hAnsi="Arial" w:cs="Arial"/>
                <w:bCs/>
                <w:sz w:val="22"/>
                <w:szCs w:val="22"/>
              </w:rPr>
            </w:pPr>
            <w:r>
              <w:rPr>
                <w:rFonts w:eastAsia="Arial" w:cs="Arial" w:ascii="Arial" w:hAnsi="Arial"/>
                <w:sz w:val="22"/>
                <w:szCs w:val="22"/>
              </w:rPr>
              <w:t>EBVPD III dalies B1 ir B2 punktai</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1) Dėl įsipareigojimų, susijusių su mokesčių mokėjimu, įvykdymo i</w:t>
            </w:r>
            <w:r>
              <w:rPr>
                <w:rFonts w:cs="Arial" w:ascii="Arial" w:hAnsi="Arial"/>
                <w:sz w:val="22"/>
                <w:szCs w:val="22"/>
                <w:lang w:eastAsia="en-US"/>
              </w:rPr>
              <w:t xml:space="preserve">š Lietuvoje įsteigtų subjektų </w:t>
            </w:r>
            <w:r>
              <w:rPr>
                <w:rFonts w:cs="Arial" w:ascii="Arial" w:hAnsi="Arial"/>
                <w:sz w:val="22"/>
                <w:szCs w:val="22"/>
              </w:rPr>
              <w:t>prašoma:</w:t>
            </w:r>
          </w:p>
          <w:p>
            <w:pPr>
              <w:pStyle w:val="NoSpacing"/>
              <w:jc w:val="both"/>
              <w:rPr>
                <w:rFonts w:ascii="Arial" w:hAnsi="Arial" w:cs="Arial"/>
                <w:b/>
                <w:bCs/>
                <w:sz w:val="22"/>
                <w:szCs w:val="22"/>
              </w:rPr>
            </w:pPr>
            <w:r>
              <w:rPr>
                <w:rFonts w:cs="Arial" w:ascii="Arial" w:hAnsi="Arial"/>
                <w:b/>
                <w:bCs/>
                <w:sz w:val="22"/>
                <w:szCs w:val="22"/>
              </w:rPr>
            </w:r>
          </w:p>
          <w:p>
            <w:pPr>
              <w:pStyle w:val="NoSpacing"/>
              <w:numPr>
                <w:ilvl w:val="0"/>
                <w:numId w:val="6"/>
              </w:numPr>
              <w:jc w:val="both"/>
              <w:rPr>
                <w:rFonts w:ascii="Arial" w:hAnsi="Arial" w:cs="Arial"/>
                <w:sz w:val="22"/>
                <w:szCs w:val="22"/>
              </w:rPr>
            </w:pPr>
            <w:r>
              <w:rPr>
                <w:rFonts w:cs="Arial" w:ascii="Arial" w:hAnsi="Arial"/>
                <w:sz w:val="22"/>
                <w:szCs w:val="22"/>
              </w:rPr>
              <w:t>išrašo iš teismo sprendimo (jei toks yra) arba Valstybinės mokesčių inspekcijos prie Lietuvos Respublikos finansų ministerijos išduoto dokumento,</w:t>
            </w:r>
          </w:p>
          <w:p>
            <w:pPr>
              <w:pStyle w:val="NoSpacing"/>
              <w:numPr>
                <w:ilvl w:val="0"/>
                <w:numId w:val="5"/>
              </w:numPr>
              <w:jc w:val="both"/>
              <w:rPr>
                <w:rFonts w:ascii="Arial" w:hAnsi="Arial" w:cs="Arial"/>
                <w:sz w:val="22"/>
                <w:szCs w:val="22"/>
              </w:rPr>
            </w:pPr>
            <w:r>
              <w:rPr>
                <w:rFonts w:cs="Arial" w:ascii="Arial" w:hAnsi="Arial"/>
                <w:sz w:val="22"/>
                <w:szCs w:val="22"/>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3"/>
            </w:r>
            <w:r>
              <w:rPr>
                <w:rFonts w:cs="Arial" w:ascii="Arial" w:hAnsi="Arial"/>
                <w:sz w:val="22"/>
                <w:szCs w:val="22"/>
              </w:rPr>
              <w:t>.</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sz w:val="22"/>
                <w:szCs w:val="22"/>
              </w:rPr>
            </w:pPr>
            <w:r>
              <w:rPr>
                <w:rFonts w:cs="Arial" w:ascii="Arial" w:hAnsi="Arial"/>
                <w:sz w:val="22"/>
                <w:szCs w:val="22"/>
              </w:rPr>
              <w:t xml:space="preserve">Nurodyti dokumentai turi būti išduoti ne anksčiau kaip </w:t>
            </w:r>
            <w:r>
              <w:rPr>
                <w:rFonts w:cs="Arial" w:ascii="Arial" w:hAnsi="Arial"/>
                <w:color w:val="00B050"/>
                <w:sz w:val="22"/>
                <w:szCs w:val="22"/>
              </w:rPr>
              <w:t>120</w:t>
            </w:r>
            <w:r>
              <w:rPr>
                <w:rFonts w:cs="Arial" w:ascii="Arial" w:hAnsi="Arial"/>
                <w:sz w:val="22"/>
                <w:szCs w:val="22"/>
              </w:rPr>
              <w:t xml:space="preserve"> </w:t>
            </w:r>
            <w:r>
              <w:rPr>
                <w:rFonts w:cs="Arial" w:ascii="Arial" w:hAnsi="Arial"/>
                <w:color w:val="00B050"/>
                <w:sz w:val="22"/>
                <w:szCs w:val="22"/>
              </w:rPr>
              <w:t>dienų</w:t>
            </w:r>
            <w:r>
              <w:rPr>
                <w:rFonts w:cs="Arial" w:ascii="Arial" w:hAnsi="Arial"/>
                <w:sz w:val="22"/>
                <w:szCs w:val="22"/>
              </w:rPr>
              <w:t xml:space="preserve">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w:t>
            </w:r>
          </w:p>
          <w:p>
            <w:pPr>
              <w:pStyle w:val="NoSpacing"/>
              <w:jc w:val="both"/>
              <w:rPr>
                <w:rFonts w:ascii="Arial" w:hAnsi="Arial" w:cs="Arial"/>
                <w:bCs/>
                <w:sz w:val="22"/>
                <w:szCs w:val="22"/>
              </w:rPr>
            </w:pPr>
            <w:r>
              <w:rPr>
                <w:rFonts w:cs="Arial" w:ascii="Arial" w:hAnsi="Arial"/>
                <w:bCs/>
                <w:sz w:val="22"/>
                <w:szCs w:val="22"/>
              </w:rPr>
            </w:r>
          </w:p>
          <w:p>
            <w:pPr>
              <w:pStyle w:val="NoSpacing"/>
              <w:jc w:val="both"/>
              <w:rPr>
                <w:rFonts w:ascii="Arial" w:hAnsi="Arial" w:cs="Arial"/>
                <w:b/>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
                <w:bCs/>
                <w:sz w:val="22"/>
                <w:szCs w:val="22"/>
              </w:rPr>
            </w:pPr>
            <w:r>
              <w:rPr>
                <w:rFonts w:cs="Arial" w:ascii="Arial" w:hAnsi="Arial"/>
                <w:bCs/>
                <w:sz w:val="22"/>
                <w:szCs w:val="22"/>
              </w:rPr>
              <w:t>2) Dėl įsipareigojimų, susijusių su socialinio draudimo įmokų mokėjimu, įvykdymo i</w:t>
            </w:r>
            <w:r>
              <w:rPr>
                <w:rFonts w:cs="Arial" w:ascii="Arial" w:hAnsi="Arial"/>
                <w:sz w:val="22"/>
                <w:szCs w:val="22"/>
                <w:lang w:eastAsia="en-US"/>
              </w:rPr>
              <w:t xml:space="preserve">š Lietuvoje įsteigtų subjektų </w:t>
            </w:r>
            <w:r>
              <w:rPr>
                <w:rFonts w:cs="Arial" w:ascii="Arial" w:hAnsi="Arial"/>
                <w:bCs/>
                <w:sz w:val="22"/>
                <w:szCs w:val="22"/>
              </w:rPr>
              <w:t>prašoma:</w:t>
            </w:r>
          </w:p>
          <w:p>
            <w:pPr>
              <w:pStyle w:val="NoSpacing"/>
              <w:jc w:val="both"/>
              <w:rPr>
                <w:rFonts w:ascii="Arial" w:hAnsi="Arial" w:cs="Arial"/>
                <w:bCs/>
                <w:sz w:val="22"/>
                <w:szCs w:val="22"/>
              </w:rPr>
            </w:pPr>
            <w:r>
              <w:rPr>
                <w:rFonts w:cs="Arial" w:ascii="Arial" w:hAnsi="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Style w:val="Hyperlink"/>
                  <w:rFonts w:cs="Arial" w:ascii="Arial" w:hAnsi="Arial"/>
                  <w:bCs/>
                  <w:sz w:val="22"/>
                  <w:szCs w:val="22"/>
                </w:rPr>
                <w:t>http://draudejai.sodra.lt/draudeju_viesi_duomenys/</w:t>
              </w:r>
            </w:hyperlink>
            <w:r>
              <w:rPr>
                <w:rFonts w:cs="Arial" w:ascii="Arial" w:hAnsi="Arial"/>
                <w:bCs/>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kompetentingos institucijos dokumento</w:t>
            </w:r>
            <w:r>
              <w:rPr>
                <w:rStyle w:val="FootnoteReference"/>
                <w:rFonts w:cs="Arial" w:ascii="Arial" w:hAnsi="Arial"/>
                <w:sz w:val="22"/>
                <w:szCs w:val="22"/>
              </w:rPr>
              <w:footnoteReference w:id="4"/>
            </w:r>
            <w:r>
              <w:rPr>
                <w:rFonts w:cs="Arial" w:ascii="Arial" w:hAnsi="Arial"/>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 xml:space="preserve">Nurodyti dokumentai turi būti  išduoti ne anksčiau kaip </w:t>
            </w:r>
            <w:r>
              <w:rPr>
                <w:rFonts w:cs="Arial" w:ascii="Arial" w:hAnsi="Arial"/>
                <w:color w:val="00B050"/>
                <w:sz w:val="22"/>
                <w:szCs w:val="22"/>
              </w:rPr>
              <w:t>120</w:t>
            </w:r>
            <w:r>
              <w:rPr>
                <w:rFonts w:cs="Arial" w:ascii="Arial" w:hAnsi="Arial"/>
                <w:sz w:val="22"/>
                <w:szCs w:val="22"/>
              </w:rPr>
              <w:t xml:space="preserve"> </w:t>
            </w:r>
            <w:r>
              <w:rPr>
                <w:rFonts w:cs="Arial" w:ascii="Arial" w:hAnsi="Arial"/>
                <w:color w:val="00B050"/>
                <w:sz w:val="22"/>
                <w:szCs w:val="22"/>
              </w:rPr>
              <w:t>dienų</w:t>
            </w:r>
            <w:r>
              <w:rPr>
                <w:rFonts w:cs="Arial" w:ascii="Arial" w:hAnsi="Arial"/>
                <w:sz w:val="22"/>
                <w:szCs w:val="22"/>
              </w:rPr>
              <w:t xml:space="preserve">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bCs/>
                <w:sz w:val="22"/>
                <w:szCs w:val="22"/>
              </w:rPr>
            </w:pPr>
            <w:r>
              <w:rPr>
                <w:rFonts w:cs="Arial" w:ascii="Arial" w:hAnsi="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rmal"/>
              <w:spacing w:lineRule="auto" w:line="240" w:before="0" w:after="0"/>
              <w:ind w:left="45"/>
              <w:jc w:val="both"/>
              <w:rPr>
                <w:rFonts w:ascii="Arial" w:hAnsi="Arial" w:cs="Arial"/>
                <w:bCs/>
              </w:rPr>
            </w:pPr>
            <w:r>
              <w:rPr>
                <w:rFonts w:cs="Arial" w:ascii="Arial" w:hAnsi="Arial"/>
                <w:bCs/>
                <w:i/>
                <w:iCs/>
              </w:rPr>
              <w:t>Pažymų, patvirtinančių VPĮ 46 straipsnyje nurodytų tiekėjo pašalinimo pagrindų nebuvimą, pateikti nereikalaujama. Jų perkančioji organizacija reikalaus tik turėdama pagrįstų abejonių dėl tiekėjo patikimumo</w:t>
            </w:r>
            <w:r>
              <w:rPr>
                <w:rFonts w:cs="Arial" w:ascii="Arial" w:hAnsi="Arial"/>
                <w:bCs/>
              </w:rPr>
              <w:t>.</w:t>
            </w:r>
          </w:p>
        </w:tc>
        <w:tc>
          <w:tcPr>
            <w:tcW w:w="1965"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328" w:leader="none"/>
              </w:tabs>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4.</w:t>
            </w:r>
          </w:p>
        </w:tc>
        <w:tc>
          <w:tcPr>
            <w:tcW w:w="558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rPr>
              <w:t>Tiekėjas su kitais tiekėjais yra sudaręs susitarimų, kuriais siekiama iškreipti konkurenciją atliekamame pirkime, ir perkančioji organizacija dėl to turi įtikinamų duomenų.</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1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cs="Arial"/>
                <w:bCs/>
              </w:rPr>
            </w:pPr>
            <w:r>
              <w:rPr>
                <w:rFonts w:eastAsia="Yu Mincho" w:cs="Arial" w:ascii="Arial" w:hAnsi="Arial"/>
              </w:rPr>
              <w:t>EBVPD III dalies C10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5.</w:t>
            </w:r>
          </w:p>
        </w:tc>
        <w:tc>
          <w:tcPr>
            <w:tcW w:w="5589"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Tiekėjas pirkimo metu pateko į interesų konflikto situaciją, kaip apibrėžta VPĮ 21 straipsnyje, ir atitinkamos padėties negalima ištaisyti.</w:t>
            </w:r>
          </w:p>
          <w:p>
            <w:pPr>
              <w:pStyle w:val="Normal"/>
              <w:spacing w:lineRule="auto" w:line="240" w:before="0" w:after="0"/>
              <w:jc w:val="both"/>
              <w:rPr>
                <w:rFonts w:ascii="Arial" w:hAnsi="Arial" w:cs="Arial"/>
                <w:bCs/>
              </w:rPr>
            </w:pPr>
            <w:r>
              <w:rPr>
                <w:rFonts w:cs="Arial" w:ascii="Arial" w:hAnsi="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2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C12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sz w:val="22"/>
                <w:szCs w:val="22"/>
              </w:rPr>
            </w:pPr>
            <w:r>
              <w:rPr>
                <w:rFonts w:cs="Arial" w:ascii="Arial" w:hAnsi="Arial"/>
                <w:bCs/>
                <w:sz w:val="22"/>
                <w:szCs w:val="22"/>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6.</w:t>
            </w:r>
          </w:p>
        </w:tc>
        <w:tc>
          <w:tcPr>
            <w:tcW w:w="558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lang w:eastAsia="lt-LT"/>
              </w:rPr>
            </w:pPr>
            <w:r>
              <w:rPr>
                <w:rFonts w:cs="Arial" w:ascii="Arial" w:hAnsi="Arial"/>
              </w:rPr>
              <w:t>Pažeista konkurencija, kaip nustatyta VPĮ 27 straipsnio 3 ir 4 dalyse, ir atitinkamos padėties negalima ištaisyti.</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3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cs="Arial"/>
                <w:bCs/>
              </w:rPr>
            </w:pPr>
            <w:r>
              <w:rPr>
                <w:rFonts w:eastAsia="Yu Mincho" w:cs="Arial" w:ascii="Arial" w:hAnsi="Arial"/>
              </w:rPr>
              <w:t>EBVPD III dalies C13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7.</w:t>
            </w:r>
          </w:p>
        </w:tc>
        <w:tc>
          <w:tcPr>
            <w:tcW w:w="5589"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pPr>
              <w:pStyle w:val="Normal"/>
              <w:spacing w:lineRule="auto" w:line="240" w:before="0" w:after="0"/>
              <w:jc w:val="both"/>
              <w:rPr>
                <w:rFonts w:ascii="Arial" w:hAnsi="Arial" w:cs="Arial"/>
                <w:bCs/>
                <w:lang w:eastAsia="lt-LT"/>
              </w:rPr>
            </w:pPr>
            <w:r>
              <w:rPr>
                <w:rFonts w:cs="Arial" w:ascii="Arial" w:hAnsi="Arial"/>
                <w:bCs/>
                <w:lang w:eastAsia="lt-LT"/>
              </w:rPr>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4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C15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Cs/>
                <w:sz w:val="22"/>
                <w:szCs w:val="22"/>
              </w:rPr>
            </w:pPr>
            <w:r>
              <w:rPr>
                <w:rFonts w:cs="Arial" w:ascii="Arial" w:hAnsi="Arial"/>
                <w:sz w:val="22"/>
                <w:szCs w:val="22"/>
              </w:rPr>
              <w:t>https://vpt.lrv.lt/lt/nuorodos/kiti-duomenys/powerbi/melaginga-informacija-pateikusiu-tiekeju-sarasas-3/</w:t>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8.</w:t>
            </w:r>
          </w:p>
        </w:tc>
        <w:tc>
          <w:tcPr>
            <w:tcW w:w="558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5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C15 punktas</w:t>
            </w:r>
          </w:p>
          <w:p>
            <w:pPr>
              <w:pStyle w:val="Normal"/>
              <w:spacing w:lineRule="auto" w:line="240" w:before="0" w:after="0"/>
              <w:jc w:val="both"/>
              <w:rPr>
                <w:rFonts w:ascii="Arial" w:hAnsi="Arial" w:cs="Arial"/>
                <w:bCs/>
              </w:rPr>
            </w:pPr>
            <w:r>
              <w:rPr>
                <w:rFonts w:cs="Arial" w:ascii="Arial" w:hAnsi="Arial"/>
                <w:bCs/>
              </w:rPr>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9.</w:t>
            </w:r>
          </w:p>
        </w:tc>
        <w:tc>
          <w:tcPr>
            <w:tcW w:w="558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rPr>
            </w:pPr>
            <w:r>
              <w:rPr>
                <w:rFonts w:cs="Arial" w:ascii="Arial" w:hAnsi="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cs="Arial"/>
                <w:bCs/>
              </w:rPr>
            </w:pPr>
            <w:r>
              <w:rPr>
                <w:rFonts w:cs="Arial"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pPr>
              <w:pStyle w:val="Normal"/>
              <w:spacing w:lineRule="auto" w:line="240" w:before="0" w:after="0"/>
              <w:jc w:val="both"/>
              <w:rPr>
                <w:rFonts w:ascii="Arial" w:hAnsi="Arial" w:cs="Arial"/>
                <w:bCs/>
              </w:rPr>
            </w:pPr>
            <w:r>
              <w:rPr>
                <w:rFonts w:cs="Arial" w:ascii="Arial" w:hAnsi="Arial"/>
                <w:bCs/>
              </w:rPr>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6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C14 punktas</w:t>
            </w:r>
          </w:p>
          <w:p>
            <w:pPr>
              <w:pStyle w:val="Normal"/>
              <w:spacing w:lineRule="auto" w:line="240" w:before="0" w:after="0"/>
              <w:jc w:val="both"/>
              <w:rPr>
                <w:rFonts w:ascii="Arial" w:hAnsi="Arial" w:cs="Arial"/>
                <w:bCs/>
              </w:rPr>
            </w:pPr>
            <w:r>
              <w:rPr>
                <w:rFonts w:cs="Arial" w:ascii="Arial" w:hAnsi="Arial"/>
                <w:bCs/>
              </w:rPr>
            </w:r>
          </w:p>
          <w:p>
            <w:pPr>
              <w:pStyle w:val="Normal"/>
              <w:spacing w:lineRule="auto" w:line="240" w:before="0" w:after="0"/>
              <w:jc w:val="both"/>
              <w:rPr>
                <w:rFonts w:ascii="Arial" w:hAnsi="Arial" w:cs="Arial"/>
                <w:bCs/>
              </w:rPr>
            </w:pPr>
            <w:r>
              <w:rPr>
                <w:rFonts w:cs="Arial" w:ascii="Arial" w:hAnsi="Arial"/>
                <w:bCs/>
              </w:rPr>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2"/>
                <w:szCs w:val="22"/>
              </w:rPr>
            </w:pPr>
            <w:r>
              <w:rPr>
                <w:rFonts w:cs="Arial" w:ascii="Arial" w:hAnsi="Arial"/>
                <w:sz w:val="22"/>
                <w:szCs w:val="22"/>
              </w:rPr>
            </w:r>
          </w:p>
          <w:p>
            <w:pPr>
              <w:pStyle w:val="Normal"/>
              <w:spacing w:lineRule="auto" w:line="240" w:before="0" w:after="0"/>
              <w:jc w:val="both"/>
              <w:rPr>
                <w:rFonts w:ascii="Arial" w:hAnsi="Arial" w:eastAsia="Yu Mincho" w:cs="Arial"/>
                <w:lang w:eastAsia="lt-LT"/>
              </w:rPr>
            </w:pPr>
            <w:hyperlink r:id="rId3">
              <w:r>
                <w:rPr>
                  <w:rStyle w:val="ListLabel92"/>
                  <w:rFonts w:eastAsia="Yu Mincho" w:cs="Arial" w:ascii="Arial" w:hAnsi="Arial"/>
                  <w:lang w:eastAsia="lt-LT"/>
                </w:rPr>
                <w:t>https://vpt.lrv.lt/lt/nuorodos/kiti-duomenys/powerbi/nepatikimi-tiekejai-1/</w:t>
              </w:r>
            </w:hyperlink>
          </w:p>
          <w:p>
            <w:pPr>
              <w:pStyle w:val="Normal"/>
              <w:spacing w:lineRule="auto" w:line="240" w:before="0" w:after="0"/>
              <w:jc w:val="both"/>
              <w:rPr>
                <w:rFonts w:ascii="Arial" w:hAnsi="Arial" w:eastAsia="Yu Mincho" w:cs="Arial"/>
                <w:lang w:eastAsia="lt-LT"/>
              </w:rPr>
            </w:pPr>
            <w:r>
              <w:rPr>
                <w:rFonts w:eastAsia="Yu Mincho" w:cs="Arial" w:ascii="Arial" w:hAnsi="Arial"/>
                <w:lang w:eastAsia="lt-LT"/>
              </w:rPr>
            </w:r>
          </w:p>
          <w:p>
            <w:pPr>
              <w:pStyle w:val="Normal"/>
              <w:spacing w:lineRule="auto" w:line="240" w:before="0" w:after="0"/>
              <w:jc w:val="both"/>
              <w:rPr>
                <w:rFonts w:ascii="Arial" w:hAnsi="Arial" w:eastAsia="Yu Mincho" w:cs="Arial"/>
                <w:lang w:eastAsia="lt-LT"/>
              </w:rPr>
            </w:pPr>
            <w:hyperlink r:id="rId4">
              <w:r>
                <w:rPr>
                  <w:rStyle w:val="ListLabel92"/>
                  <w:rFonts w:eastAsia="Yu Mincho" w:cs="Arial" w:ascii="Arial" w:hAnsi="Arial"/>
                  <w:lang w:eastAsia="lt-LT"/>
                </w:rPr>
                <w:t>https://vpt.lrv.lt/lt/pasalinimo-pagrindai-1/nepatikimu-koncesininku-sarasas-1/nepatikimu-koncesininku-sarasas/</w:t>
              </w:r>
            </w:hyperlink>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10.</w:t>
            </w:r>
          </w:p>
        </w:tc>
        <w:tc>
          <w:tcPr>
            <w:tcW w:w="5589"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rPr>
              <w:t>Tiekėjas yra padaręs rimtą profesinį pažeidimą, dėl kurio perkančioji organizacija abejoja tiekėjo sąžiningumu, kai jis</w:t>
            </w:r>
            <w:bookmarkStart w:id="1" w:name="part_030e6c6c64ba4f96a23474e439d1b80c"/>
            <w:bookmarkEnd w:id="1"/>
            <w:r>
              <w:rPr>
                <w:rFonts w:cs="Arial" w:ascii="Arial" w:hAnsi="Arial"/>
                <w:sz w:val="22"/>
                <w:szCs w:val="22"/>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Cs/>
              </w:rPr>
            </w:pPr>
            <w:r>
              <w:rPr>
                <w:rFonts w:cs="Arial" w:ascii="Arial" w:hAnsi="Arial"/>
                <w:bCs/>
              </w:rPr>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a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C11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lang w:eastAsia="en-US"/>
              </w:rPr>
              <w:t xml:space="preserve">Iš Lietuvoje įsteigtų subjektų įrodančių dokumentų nereikalaujama. Užtenka pateikto EBVPD. </w:t>
            </w:r>
            <w:r>
              <w:rPr>
                <w:rFonts w:cs="Arial" w:ascii="Arial" w:hAnsi="Arial"/>
                <w:sz w:val="22"/>
                <w:szCs w:val="22"/>
              </w:rPr>
              <w:t>Priimant sprendimus dėl tiekėjo pašalinimo iš pirkimo procedūros šiame punkte nurodytu pašalinimo pagrindu, be kita ko, atsižvelgiama į</w:t>
            </w:r>
            <w:r>
              <w:rPr>
                <w:rFonts w:cs="Arial" w:ascii="Arial" w:hAnsi="Arial"/>
                <w:b/>
                <w:bCs/>
                <w:sz w:val="22"/>
                <w:szCs w:val="22"/>
              </w:rPr>
              <w:t xml:space="preserve"> </w:t>
            </w:r>
            <w:r>
              <w:rPr>
                <w:rFonts w:cs="Arial" w:ascii="Arial" w:hAnsi="Arial"/>
                <w:sz w:val="22"/>
                <w:szCs w:val="22"/>
              </w:rPr>
              <w:t xml:space="preserve">nacionalinėje duomenų bazėje adresu: </w:t>
            </w:r>
            <w:hyperlink r:id="rId5">
              <w:r>
                <w:rPr>
                  <w:rStyle w:val="Hyperlink"/>
                  <w:rFonts w:cs="Arial" w:ascii="Arial" w:hAnsi="Arial"/>
                  <w:sz w:val="22"/>
                  <w:szCs w:val="22"/>
                </w:rPr>
                <w:t>https://www.registrucentras.lt/jar/p/index.php</w:t>
              </w:r>
            </w:hyperlink>
          </w:p>
          <w:p>
            <w:pPr>
              <w:pStyle w:val="NoSpacing"/>
              <w:jc w:val="both"/>
              <w:rPr>
                <w:rFonts w:ascii="Arial" w:hAnsi="Arial" w:cs="Arial"/>
                <w:sz w:val="22"/>
                <w:szCs w:val="22"/>
              </w:rPr>
            </w:pPr>
            <w:r>
              <w:rPr>
                <w:rFonts w:cs="Arial" w:ascii="Arial" w:hAnsi="Arial"/>
                <w:sz w:val="22"/>
                <w:szCs w:val="22"/>
              </w:rPr>
              <w:t>paskelbtą informaciją, taip pat į šiame informaciniame pranešime pateiktą informaciją:</w:t>
            </w:r>
          </w:p>
          <w:p>
            <w:pPr>
              <w:pStyle w:val="Normal"/>
              <w:spacing w:lineRule="auto" w:line="240" w:before="0" w:after="0"/>
              <w:jc w:val="both"/>
              <w:rPr>
                <w:rFonts w:ascii="Arial" w:hAnsi="Arial" w:cs="Arial"/>
                <w:bCs/>
              </w:rPr>
            </w:pPr>
            <w:r>
              <w:rPr>
                <w:rFonts w:eastAsia="" w:cs="Arial" w:ascii="Arial" w:hAnsi="Arial" w:eastAsiaTheme="minorEastAsia"/>
                <w:lang w:eastAsia="lt-LT"/>
              </w:rPr>
              <w:t>https://vpt.lrv.lt/lt/naujienos-3/finansiniu-ataskaitu-nepateikimas-gali-tapti-kliutimi-dalyvauti-viesuosiuose-pirkimuose/</w:t>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11.</w:t>
            </w:r>
          </w:p>
        </w:tc>
        <w:tc>
          <w:tcPr>
            <w:tcW w:w="558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bookmarkStart w:id="2" w:name="part_0fb4d9e73a034b12ba8d6bd23938a95e"/>
            <w:bookmarkStart w:id="3" w:name="part_488c57bb00424d7fbbd99ea8cbe0ec99"/>
            <w:bookmarkStart w:id="4" w:name="part_7391479aff5b468699209f57e0479282"/>
            <w:bookmarkEnd w:id="2"/>
            <w:bookmarkEnd w:id="3"/>
            <w:bookmarkEnd w:id="4"/>
            <w:r>
              <w:rPr>
                <w:rFonts w:cs="Arial" w:ascii="Arial" w:hAnsi="Arial"/>
              </w:rPr>
              <w:t xml:space="preserve">Tiekėjas yra padaręs rimtą profesinį pažeidimą, dėl kurio perkančioji organizacija abejoja tiekėjo sąžiningumu, </w:t>
            </w:r>
            <w:r>
              <w:rPr>
                <w:rFonts w:eastAsia="Times New Roman" w:cs="Arial" w:ascii="Arial" w:hAnsi="Arial"/>
              </w:rPr>
              <w:t xml:space="preserve"> kai jis (tiekėjas) neatitinka minimalių patikimo mokesčių mokėtojo kriterijų, nustatytų Lietuvos Respublikos mokesčių administravimo įstatymo 40</w:t>
            </w:r>
            <w:r>
              <w:rPr>
                <w:rFonts w:eastAsia="Times New Roman" w:cs="Arial" w:ascii="Arial" w:hAnsi="Arial"/>
                <w:vertAlign w:val="superscript"/>
              </w:rPr>
              <w:t>1</w:t>
            </w:r>
            <w:r>
              <w:rPr>
                <w:rFonts w:eastAsia="Times New Roman" w:cs="Arial" w:ascii="Arial" w:hAnsi="Arial"/>
              </w:rPr>
              <w:t xml:space="preserve"> straipsnio 1 dalyje.</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b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eastAsia="Calibri" w:cs="Arial"/>
                <w:bCs/>
              </w:rPr>
            </w:pPr>
            <w:r>
              <w:rPr>
                <w:rFonts w:eastAsia="Yu Mincho" w:cs="Arial" w:ascii="Arial" w:hAnsi="Arial"/>
              </w:rPr>
              <w:t>EBVPD III dalies C11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
                <w:bCs/>
                <w:iCs/>
                <w:sz w:val="22"/>
                <w:szCs w:val="22"/>
                <w:lang w:eastAsia="en-US"/>
              </w:rPr>
            </w:pPr>
            <w:r>
              <w:rPr>
                <w:rFonts w:cs="Arial" w:ascii="Arial" w:hAnsi="Arial"/>
                <w:b/>
                <w:bCs/>
                <w:iCs/>
                <w:sz w:val="22"/>
                <w:szCs w:val="22"/>
                <w:lang w:eastAsia="en-US"/>
              </w:rPr>
            </w:r>
          </w:p>
          <w:p>
            <w:pPr>
              <w:pStyle w:val="Normal"/>
              <w:spacing w:lineRule="auto" w:line="240" w:before="0" w:after="0"/>
              <w:jc w:val="both"/>
              <w:rPr>
                <w:rFonts w:ascii="Arial" w:hAnsi="Arial" w:cs="Arial"/>
                <w:bCs/>
              </w:rPr>
            </w:pP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6">
              <w:r>
                <w:rPr>
                  <w:rStyle w:val="Hyperlink"/>
                  <w:rFonts w:cs="Arial" w:ascii="Arial" w:hAnsi="Arial"/>
                </w:rPr>
                <w:t>https://www.vmi.lt/evmi/mokesciu-moketoju-informacija</w:t>
              </w:r>
            </w:hyperlink>
            <w:r>
              <w:rPr>
                <w:rFonts w:cs="Arial" w:ascii="Arial" w:hAnsi="Arial"/>
              </w:rPr>
              <w:t xml:space="preserve"> skelbiamą informaciją.</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12.</w:t>
            </w:r>
          </w:p>
        </w:tc>
        <w:tc>
          <w:tcPr>
            <w:tcW w:w="5589"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rPr>
              <w:t>Tiekėjas yra padaręs rimtą profesinį pažeidimą, dėl kurio perkančioji organizacija abejoja tiekėjo sąžiningumu,</w:t>
            </w:r>
            <w:r>
              <w:rPr>
                <w:rFonts w:eastAsia="Times New Roman" w:cs="Arial" w:ascii="Arial" w:hAnsi="Arial"/>
              </w:rPr>
              <w:t xml:space="preserve"> kai jis </w:t>
            </w:r>
            <w:r>
              <w:rPr>
                <w:rFonts w:cs="Arial" w:ascii="Arial" w:hAnsi="Arial"/>
                <w:color w:themeColor="text1"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812" w:type="dxa"/>
            <w:tcBorders>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c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rPr>
            </w:pPr>
            <w:r>
              <w:rPr>
                <w:rFonts w:eastAsia="Yu Mincho" w:cs="Arial" w:ascii="Arial" w:hAnsi="Arial"/>
                <w:sz w:val="22"/>
                <w:szCs w:val="22"/>
              </w:rPr>
              <w:t>EBVPD III dalies C11 punktas</w:t>
            </w:r>
          </w:p>
        </w:tc>
        <w:tc>
          <w:tcPr>
            <w:tcW w:w="5586" w:type="dxa"/>
            <w:tcBorders>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rmal"/>
              <w:jc w:val="both"/>
              <w:rPr>
                <w:rFonts w:ascii="Arial" w:hAnsi="Arial" w:cs="Arial"/>
                <w:b/>
                <w:bCs/>
              </w:rPr>
            </w:pPr>
            <w:r>
              <w:rPr>
                <w:rFonts w:cs="Arial" w:ascii="Arial" w:hAnsi="Arial"/>
                <w:b/>
                <w:bCs/>
              </w:rPr>
              <w:t>Priimant sprendimus dėl tiekėjo pašalinimo iš pirkimo procedūros šiame punkte nurodytu pašalinimo pagrindu, be kita ko, atsižvelgiama į nacionalinėje duomenų bazėje adresu:</w:t>
            </w:r>
          </w:p>
          <w:p>
            <w:pPr>
              <w:pStyle w:val="NoSpacing"/>
              <w:jc w:val="both"/>
              <w:rPr>
                <w:rFonts w:ascii="Arial" w:hAnsi="Arial" w:cs="Arial"/>
                <w:sz w:val="22"/>
                <w:szCs w:val="22"/>
              </w:rPr>
            </w:pPr>
            <w:r>
              <w:rPr>
                <w:rFonts w:cs="Arial" w:ascii="Arial" w:hAnsi="Arial"/>
                <w:sz w:val="22"/>
                <w:szCs w:val="22"/>
              </w:rPr>
              <w:t>https://kt.gov.lt/lt/atviri-duomenys/diskvalifikavimas-is-viesuju-pirkimu</w:t>
            </w:r>
          </w:p>
          <w:p>
            <w:pPr>
              <w:pStyle w:val="NoSpacing"/>
              <w:jc w:val="both"/>
              <w:rPr>
                <w:rFonts w:ascii="Arial" w:hAnsi="Arial" w:cs="Arial"/>
                <w:bCs/>
                <w:sz w:val="22"/>
                <w:szCs w:val="22"/>
              </w:rPr>
            </w:pPr>
            <w:r>
              <w:rPr>
                <w:rFonts w:cs="Arial" w:ascii="Arial" w:hAnsi="Arial"/>
                <w:sz w:val="22"/>
                <w:szCs w:val="22"/>
              </w:rPr>
              <w:t>skelbiamą informaciją.</w:t>
            </w:r>
          </w:p>
        </w:tc>
        <w:tc>
          <w:tcPr>
            <w:tcW w:w="1965"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13.</w:t>
            </w:r>
          </w:p>
        </w:tc>
        <w:tc>
          <w:tcPr>
            <w:tcW w:w="5589"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812" w:type="dxa"/>
            <w:tcBorders>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 xml:space="preserve">VPĮ 46 straipsnio 6 dalies 3 punktas </w:t>
            </w:r>
            <w:r>
              <w:rPr>
                <w:rFonts w:eastAsia="Yu Mincho" w:cs="Arial" w:ascii="Arial" w:hAnsi="Arial"/>
                <w:sz w:val="22"/>
                <w:szCs w:val="22"/>
              </w:rPr>
              <w:t>EBVPD III dalies C11 punktas</w:t>
            </w:r>
          </w:p>
        </w:tc>
        <w:tc>
          <w:tcPr>
            <w:tcW w:w="5586" w:type="dxa"/>
            <w:tcBorders>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tc>
        <w:tc>
          <w:tcPr>
            <w:tcW w:w="1965"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bl>
    <w:p>
      <w:pPr>
        <w:pStyle w:val="ListParagraph"/>
        <w:spacing w:lineRule="auto" w:line="240" w:before="0" w:after="0"/>
        <w:ind w:firstLine="567" w:left="0"/>
        <w:contextualSpacing/>
        <w:jc w:val="both"/>
        <w:rPr>
          <w:rFonts w:ascii="Arial" w:hAnsi="Arial" w:cs="Arial"/>
          <w:bCs/>
          <w:lang w:val="lt-LT"/>
        </w:rPr>
      </w:pPr>
      <w:r/>
      <w:r>
        <w:rPr>
          <w:rFonts w:cs="Arial" w:ascii="Arial" w:hAnsi="Arial"/>
          <w:bCs/>
          <w:i/>
          <w:lang w:val="lt-LT"/>
        </w:rPr>
        <w:t>* Perkančioji organizacija pasilieka teisę prašyti tiekėjo pateikti pažymų ar kitų su pasiūlymu teikiamų dokumentų originalus</w:t>
      </w:r>
      <w:r>
        <w:rPr>
          <w:rFonts w:cs="Arial" w:ascii="Arial" w:hAnsi="Arial"/>
          <w:bCs/>
          <w:lang w:val="lt-LT"/>
        </w:rPr>
        <w:t>.</w:t>
      </w:r>
    </w:p>
    <w:p>
      <w:pPr>
        <w:pStyle w:val="ListParagraph"/>
        <w:spacing w:lineRule="auto" w:line="240" w:before="0" w:after="0"/>
        <w:ind w:firstLine="567" w:left="0"/>
        <w:contextualSpacing/>
        <w:jc w:val="both"/>
        <w:rPr>
          <w:rFonts w:ascii="Arial" w:hAnsi="Arial" w:cs="Arial"/>
          <w:bCs/>
          <w:lang w:val="lt-LT"/>
        </w:rPr>
      </w:pPr>
      <w:r>
        <w:rPr>
          <w:rFonts w:cs="Arial" w:ascii="Arial" w:hAnsi="Arial"/>
          <w:bCs/>
          <w:lang w:val="lt-LT"/>
        </w:rPr>
      </w:r>
    </w:p>
    <w:p>
      <w:pPr>
        <w:pStyle w:val="ListParagraph"/>
        <w:spacing w:lineRule="auto" w:line="240" w:before="0" w:after="0"/>
        <w:ind w:firstLine="567" w:left="0"/>
        <w:contextualSpacing/>
        <w:jc w:val="both"/>
        <w:rPr>
          <w:rFonts w:ascii="Arial" w:hAnsi="Arial" w:cs="Arial"/>
          <w:bCs/>
          <w:lang w:val="lt-LT"/>
        </w:rPr>
      </w:pPr>
      <w:r>
        <w:rPr>
          <w:rFonts w:cs="Arial" w:ascii="Arial" w:hAnsi="Arial"/>
          <w:bCs/>
          <w:lang w:val="lt-LT"/>
        </w:rPr>
      </w:r>
    </w:p>
    <w:p>
      <w:pPr>
        <w:pStyle w:val="ListParagraph"/>
        <w:spacing w:lineRule="auto" w:line="240" w:before="0" w:after="0"/>
        <w:ind w:firstLine="567" w:left="0"/>
        <w:contextualSpacing/>
        <w:jc w:val="both"/>
        <w:rPr>
          <w:rFonts w:ascii="Arial" w:hAnsi="Arial" w:cs="Arial"/>
          <w:bCs/>
          <w:lang w:val="lt-LT"/>
        </w:rPr>
      </w:pPr>
      <w:r>
        <w:br w:type="column"/>
      </w:r>
      <w:r>
        <w:rPr>
          <w:rFonts w:cs="Arial" w:ascii="Arial" w:hAnsi="Arial"/>
          <w:bCs/>
          <w:lang w:val="lt-LT"/>
        </w:rPr>
      </w:r>
    </w:p>
    <w:p>
      <w:pPr>
        <w:pStyle w:val="ListParagraph"/>
        <w:numPr>
          <w:ilvl w:val="0"/>
          <w:numId w:val="7"/>
        </w:numPr>
        <w:tabs>
          <w:tab w:val="clear" w:pos="1296"/>
          <w:tab w:val="left" w:pos="720" w:leader="none"/>
        </w:tabs>
        <w:spacing w:lineRule="auto" w:line="240" w:before="0" w:after="0"/>
        <w:contextualSpacing/>
        <w:jc w:val="both"/>
        <w:rPr>
          <w:lang w:val="lt-LT"/>
        </w:rPr>
      </w:pPr>
      <w:r>
        <w:rPr>
          <w:rFonts w:eastAsia="Calibri" w:cs="Arial" w:ascii="Arial" w:hAnsi="Arial"/>
          <w:lang w:val="lt-LT"/>
        </w:rPr>
        <w:t xml:space="preserve">Tiekėjas turi atitikti šiuos kvalifikacijos reikalavimus </w:t>
      </w:r>
      <w:r>
        <w:rPr>
          <w:rFonts w:eastAsia="Calibri" w:cs="Arial" w:ascii="Arial" w:hAnsi="Arial"/>
          <w:b/>
          <w:bCs/>
          <w:lang w:val="lt-LT"/>
        </w:rPr>
        <w:t>(kvalifikacija turi būti įgyta iki pasiūlymo pateikimo termino pabaigos):</w:t>
      </w:r>
    </w:p>
    <w:tbl>
      <w:tblPr>
        <w:tblpPr w:vertAnchor="text" w:horzAnchor="margin" w:leftFromText="180" w:rightFromText="180" w:tblpX="0" w:tblpY="409"/>
        <w:tblOverlap w:val="never"/>
        <w:tblW w:w="5000" w:type="pct"/>
        <w:jc w:val="left"/>
        <w:tblInd w:w="-5" w:type="dxa"/>
        <w:tblLayout w:type="fixed"/>
        <w:tblCellMar>
          <w:top w:w="0" w:type="dxa"/>
          <w:left w:w="108" w:type="dxa"/>
          <w:bottom w:w="0" w:type="dxa"/>
          <w:right w:w="108" w:type="dxa"/>
        </w:tblCellMar>
        <w:tblLook w:firstRow="1" w:noVBand="1" w:lastRow="0" w:firstColumn="1" w:lastColumn="0" w:noHBand="0" w:val="04a0"/>
      </w:tblPr>
      <w:tblGrid>
        <w:gridCol w:w="753"/>
        <w:gridCol w:w="5594"/>
        <w:gridCol w:w="4711"/>
        <w:gridCol w:w="4645"/>
      </w:tblGrid>
      <w:tr>
        <w:trPr>
          <w:trHeight w:val="276" w:hRule="atLeast"/>
        </w:trPr>
        <w:tc>
          <w:tcPr>
            <w:tcW w:w="15703" w:type="dxa"/>
            <w:gridSpan w:val="4"/>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rPr>
                <w:rFonts w:ascii="Arial" w:hAnsi="Arial" w:cs="Arial"/>
                <w:b/>
              </w:rPr>
            </w:pPr>
            <w:r>
              <w:rPr>
                <w:rFonts w:cs="Arial" w:ascii="Arial" w:hAnsi="Arial"/>
                <w:b/>
              </w:rPr>
              <w:t>2 lentelė. Tiekėjų kvalifikacijos reikalavimai</w:t>
            </w:r>
          </w:p>
        </w:tc>
      </w:tr>
      <w:tr>
        <w:trPr>
          <w:trHeight w:val="865" w:hRule="atLeast"/>
        </w:trPr>
        <w:tc>
          <w:tcPr>
            <w:tcW w:w="753"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cs="Arial" w:ascii="Arial" w:hAnsi="Arial"/>
                <w:b/>
              </w:rPr>
              <w:t>Eil. Nr.</w:t>
            </w:r>
          </w:p>
        </w:tc>
        <w:tc>
          <w:tcPr>
            <w:tcW w:w="5594"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cs="Arial" w:ascii="Arial" w:hAnsi="Arial"/>
                <w:b/>
              </w:rPr>
              <w:t>Reikalavimas</w:t>
            </w:r>
          </w:p>
        </w:tc>
        <w:tc>
          <w:tcPr>
            <w:tcW w:w="4711"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cs="Arial" w:ascii="Arial" w:hAnsi="Arial"/>
                <w:b/>
              </w:rPr>
              <w:t>Atitikimą reikalavimui įrodantys dokumentas</w:t>
            </w:r>
          </w:p>
        </w:tc>
        <w:tc>
          <w:tcPr>
            <w:tcW w:w="4645" w:type="dxa"/>
            <w:tcBorders>
              <w:top w:val="single" w:sz="4" w:space="0" w:color="000000"/>
              <w:left w:val="single" w:sz="4" w:space="0" w:color="000000"/>
              <w:bottom w:val="single" w:sz="4" w:space="0" w:color="000000"/>
              <w:right w:val="single" w:sz="4" w:space="0" w:color="000000"/>
            </w:tcBorders>
            <w:shd w:color="auto" w:fill="92D050" w:val="clear"/>
          </w:tcPr>
          <w:p>
            <w:pPr>
              <w:pStyle w:val="Normal"/>
              <w:spacing w:lineRule="auto" w:line="240" w:before="0" w:after="0"/>
              <w:jc w:val="center"/>
              <w:rPr>
                <w:rFonts w:ascii="Arial" w:hAnsi="Arial" w:cs="Arial"/>
                <w:b/>
              </w:rPr>
            </w:pPr>
            <w:r>
              <w:rPr>
                <w:rFonts w:cs="Arial" w:ascii="Arial" w:hAnsi="Arial"/>
                <w:b/>
              </w:rPr>
            </w:r>
          </w:p>
          <w:p>
            <w:pPr>
              <w:pStyle w:val="Normal"/>
              <w:spacing w:lineRule="auto" w:line="240" w:before="0" w:after="0"/>
              <w:jc w:val="center"/>
              <w:rPr>
                <w:rFonts w:ascii="Arial" w:hAnsi="Arial" w:cs="Arial"/>
                <w:b/>
              </w:rPr>
            </w:pPr>
            <w:r>
              <w:rPr>
                <w:rFonts w:cs="Arial" w:ascii="Arial" w:hAnsi="Arial"/>
                <w:b/>
              </w:rPr>
              <w:t>Subjektas turi atitikti reikalavimą</w:t>
            </w:r>
          </w:p>
        </w:tc>
      </w:tr>
      <w:tr>
        <w:trPr>
          <w:trHeight w:val="395" w:hRule="atLeast"/>
        </w:trPr>
        <w:tc>
          <w:tcPr>
            <w:tcW w:w="15703" w:type="dxa"/>
            <w:gridSpan w:val="4"/>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ListParagraph"/>
              <w:numPr>
                <w:ilvl w:val="0"/>
                <w:numId w:val="8"/>
              </w:numPr>
              <w:spacing w:lineRule="auto" w:line="240" w:before="0" w:after="0"/>
              <w:contextualSpacing/>
              <w:jc w:val="center"/>
              <w:rPr>
                <w:rFonts w:ascii="Arial" w:hAnsi="Arial" w:cs="Arial"/>
                <w:b/>
                <w:lang w:val="lt-LT"/>
              </w:rPr>
            </w:pPr>
            <w:r>
              <w:rPr>
                <w:rFonts w:cs="Arial" w:ascii="Arial" w:hAnsi="Arial"/>
                <w:b/>
                <w:lang w:val="lt-LT"/>
              </w:rPr>
              <w:t>Teisė verstis veikla</w:t>
            </w:r>
          </w:p>
        </w:tc>
      </w:tr>
      <w:tr>
        <w:trPr>
          <w:trHeight w:val="841" w:hRule="atLeast"/>
        </w:trPr>
        <w:tc>
          <w:tcPr>
            <w:tcW w:w="75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12.</w:t>
            </w:r>
          </w:p>
        </w:tc>
        <w:tc>
          <w:tcPr>
            <w:tcW w:w="5594" w:type="dxa"/>
            <w:tcBorders>
              <w:bottom w:val="single" w:sz="8" w:space="0" w:color="000000"/>
              <w:right w:val="single" w:sz="8" w:space="0" w:color="000000"/>
            </w:tcBorders>
          </w:tcPr>
          <w:p>
            <w:pPr>
              <w:pStyle w:val="NoSpacing"/>
              <w:jc w:val="both"/>
              <w:rPr>
                <w:rFonts w:ascii="Arial" w:hAnsi="Arial" w:cs="Arial"/>
                <w:bCs/>
                <w:sz w:val="22"/>
                <w:szCs w:val="22"/>
              </w:rPr>
            </w:pPr>
            <w:r>
              <w:rPr>
                <w:rFonts w:cs="Arial" w:ascii="Arial" w:hAnsi="Arial"/>
                <w:bCs/>
                <w:sz w:val="22"/>
                <w:szCs w:val="22"/>
              </w:rPr>
              <w:t>Tiekėjas turi teisę verstis ta veikla, kuri reikalinga pirkimo sutarčiai įvykdyti ir kuri nurodoma steigimo dokumentuose ar  registrų centro išraše.</w:t>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Spacing"/>
              <w:jc w:val="both"/>
              <w:rPr>
                <w:rFonts w:ascii="Arial" w:hAnsi="Arial" w:cs="Arial"/>
                <w:bCs/>
                <w:sz w:val="22"/>
                <w:szCs w:val="22"/>
              </w:rPr>
            </w:pPr>
            <w:r>
              <w:rPr>
                <w:rFonts w:cs="Arial" w:ascii="Arial" w:hAnsi="Arial"/>
                <w:bCs/>
                <w:sz w:val="22"/>
                <w:szCs w:val="22"/>
              </w:rPr>
            </w:r>
          </w:p>
        </w:tc>
        <w:tc>
          <w:tcPr>
            <w:tcW w:w="4711" w:type="dxa"/>
            <w:tcBorders>
              <w:bottom w:val="single" w:sz="8" w:space="0" w:color="000000"/>
              <w:right w:val="single" w:sz="8" w:space="0" w:color="000000"/>
            </w:tcBorders>
          </w:tcPr>
          <w:p>
            <w:pPr>
              <w:pStyle w:val="Normal"/>
              <w:tabs>
                <w:tab w:val="clear" w:pos="1296"/>
                <w:tab w:val="left" w:pos="188" w:leader="none"/>
              </w:tabs>
              <w:spacing w:lineRule="auto" w:line="240" w:before="0" w:after="0"/>
              <w:rPr>
                <w:rFonts w:ascii="Arial" w:hAnsi="Arial" w:cs="Arial"/>
                <w:bCs/>
              </w:rPr>
            </w:pPr>
            <w:r>
              <w:rPr>
                <w:rFonts w:cs="Arial" w:ascii="Arial" w:hAnsi="Arial"/>
                <w:bCs/>
              </w:rPr>
              <w:t>Tiekėjas pateikia:</w:t>
            </w:r>
          </w:p>
          <w:p>
            <w:pPr>
              <w:pStyle w:val="Normal"/>
              <w:tabs>
                <w:tab w:val="clear" w:pos="1296"/>
                <w:tab w:val="left" w:pos="188" w:leader="none"/>
              </w:tabs>
              <w:spacing w:lineRule="auto" w:line="240" w:before="0" w:after="0"/>
              <w:rPr>
                <w:rFonts w:ascii="Arial" w:hAnsi="Arial" w:cs="Arial"/>
                <w:bCs/>
              </w:rPr>
            </w:pPr>
            <w:r>
              <w:rPr>
                <w:rFonts w:cs="Arial" w:ascii="Arial" w:hAnsi="Arial"/>
                <w:bCs/>
              </w:rPr>
              <w:t>Dokumentus - jų kopijas arba nuorodas į nacionalines duomenų bazes bet kurioje valstybėje narėje, prie kurių pirkimo vykdytoja turės galimybę tiesiogiai ir neatlygintinai prisijungusi  susipažinti su reikalaujamais dokumentais ir (ar) informacija:</w:t>
            </w:r>
          </w:p>
          <w:p>
            <w:pPr>
              <w:pStyle w:val="Normal"/>
              <w:tabs>
                <w:tab w:val="clear" w:pos="1296"/>
                <w:tab w:val="left" w:pos="188" w:leader="none"/>
              </w:tabs>
              <w:spacing w:lineRule="auto" w:line="240" w:before="0" w:after="0"/>
              <w:rPr>
                <w:rFonts w:ascii="Arial" w:hAnsi="Arial" w:cs="Arial"/>
                <w:bCs/>
              </w:rPr>
            </w:pPr>
            <w:r>
              <w:rPr>
                <w:rFonts w:cs="Arial" w:ascii="Arial" w:hAnsi="Arial"/>
                <w:bCs/>
              </w:rPr>
              <w:t>1) profesinių ar veiklos registrų tvarkytojų, valstybės įgaliotų institucijų pažymos, kaip yra nustatyta toje valstybėje narėje, kurioje jis registruotas, ar priesaikos deklaracija, liudijanti tiekėjo teisę verstis atitinkama veikla (</w:t>
            </w:r>
            <w:r>
              <w:rPr>
                <w:rFonts w:cs="Arial" w:ascii="Arial" w:hAnsi="Arial"/>
                <w:b/>
                <w:bCs/>
              </w:rPr>
              <w:t>Lietuvos Respublikoje</w:t>
            </w:r>
            <w:r>
              <w:rPr>
                <w:rFonts w:cs="Arial" w:ascii="Arial" w:hAnsi="Arial"/>
                <w:bCs/>
              </w:rPr>
              <w:t xml:space="preserve"> </w:t>
            </w:r>
            <w:r>
              <w:rPr>
                <w:rFonts w:cs="Arial" w:ascii="Arial" w:hAnsi="Arial"/>
                <w:b/>
                <w:bCs/>
              </w:rPr>
              <w:t>registruotas tiekėjas pateikia:</w:t>
            </w:r>
            <w:r>
              <w:rPr>
                <w:rFonts w:cs="Arial" w:ascii="Arial" w:hAnsi="Arial"/>
                <w:bCs/>
              </w:rPr>
              <w:t xml:space="preserve"> valstybės įmonės išduotą Lietuvos Respublikos juridinių asmenų registro išrašo kopiją, asmuo besiverčiantis individualia veikla – individualios veiklos registravimo dokumentą arba verslo liudijimo įsigijimo dokumentą);</w:t>
            </w:r>
          </w:p>
          <w:p>
            <w:pPr>
              <w:pStyle w:val="Normal"/>
              <w:spacing w:lineRule="auto" w:line="240" w:before="0" w:after="0"/>
              <w:jc w:val="both"/>
              <w:rPr>
                <w:rFonts w:ascii="Arial" w:hAnsi="Arial" w:cs="Arial"/>
                <w:bCs/>
              </w:rPr>
            </w:pPr>
            <w:r>
              <w:rPr>
                <w:rFonts w:cs="Arial" w:ascii="Arial" w:hAnsi="Arial"/>
                <w:bCs/>
              </w:rPr>
              <w:t>2) jeigu verstis atitinkama veikla yra privalomi leidimai, licencijos, atestatai ar kiti dokumentai – atitinkamų dokumentų – licencijų, leidimų, atestatų ar kitų pirkimo sutarčiai vykdyti privalomų dokumentų, kopijos.</w:t>
            </w:r>
          </w:p>
        </w:tc>
        <w:tc>
          <w:tcPr>
            <w:tcW w:w="4645" w:type="dxa"/>
            <w:tcBorders>
              <w:bottom w:val="single" w:sz="8" w:space="0" w:color="000000"/>
              <w:right w:val="single" w:sz="8" w:space="0" w:color="000000"/>
            </w:tcBorders>
          </w:tcPr>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ListParagraph"/>
              <w:numPr>
                <w:ilvl w:val="0"/>
                <w:numId w:val="9"/>
              </w:numPr>
              <w:tabs>
                <w:tab w:val="clear" w:pos="1296"/>
                <w:tab w:val="left" w:pos="188" w:leader="none"/>
              </w:tabs>
              <w:spacing w:lineRule="auto" w:line="240" w:before="0" w:after="0"/>
              <w:contextualSpacing/>
              <w:rPr>
                <w:rFonts w:ascii="Arial" w:hAnsi="Arial" w:cs="Arial"/>
                <w:bCs/>
                <w:lang w:val="lt-LT"/>
              </w:rPr>
            </w:pPr>
            <w:r>
              <w:rPr>
                <w:rFonts w:cs="Arial" w:ascii="Arial" w:hAnsi="Arial"/>
                <w:bCs/>
                <w:lang w:val="lt-LT"/>
              </w:rPr>
              <w:t>Jeigu pasiūlymą teikia ūkio subjektų grupė  reikalavimą turi atitikti kiekvienas ūkio subjektų grupės narys (-iai), pagal jų prisiimamus įsipareigojimus pirkimo sutarčiai vykdyti;</w:t>
            </w:r>
          </w:p>
          <w:p>
            <w:pPr>
              <w:pStyle w:val="ListParagraph"/>
              <w:numPr>
                <w:ilvl w:val="0"/>
                <w:numId w:val="9"/>
              </w:numPr>
              <w:tabs>
                <w:tab w:val="clear" w:pos="1296"/>
                <w:tab w:val="left" w:pos="188" w:leader="none"/>
              </w:tabs>
              <w:spacing w:lineRule="auto" w:line="240" w:before="0" w:after="0"/>
              <w:contextualSpacing/>
              <w:rPr>
                <w:rFonts w:ascii="Arial" w:hAnsi="Arial" w:cs="Arial"/>
                <w:bCs/>
                <w:lang w:val="lt-LT"/>
              </w:rPr>
            </w:pPr>
            <w:r>
              <w:rPr>
                <w:rFonts w:cs="Arial" w:ascii="Arial" w:hAnsi="Arial"/>
                <w:bCs/>
                <w:lang w:val="lt-LT"/>
              </w:rPr>
              <w:t>tiekėjas gali remtis kitų ūkio subjektų pajėgumais tik tuomet, kai tie subjektai, kurių pajėgumais buvo pasiremta, patys tieks prekes, teiks paslaugas ar atliks darbus, kuriems reikia jų pajėgumų</w:t>
            </w:r>
          </w:p>
          <w:p>
            <w:pPr>
              <w:pStyle w:val="ListParagraph"/>
              <w:numPr>
                <w:ilvl w:val="0"/>
                <w:numId w:val="9"/>
              </w:numPr>
              <w:spacing w:lineRule="auto" w:line="240" w:before="0" w:after="0"/>
              <w:contextualSpacing/>
              <w:jc w:val="both"/>
              <w:rPr>
                <w:rFonts w:ascii="Arial" w:hAnsi="Arial" w:cs="Arial"/>
                <w:bCs/>
                <w:lang w:val="lt-LT"/>
              </w:rPr>
            </w:pPr>
            <w:r>
              <w:rPr>
                <w:rFonts w:cs="Arial" w:ascii="Arial" w:hAnsi="Arial"/>
                <w:bCs/>
                <w:lang w:val="lt-LT"/>
              </w:rPr>
              <w:t xml:space="preserve">subtiekėjai, kuriuos tiekėjas pasitelks pirkimo sutarties vykdymui (kurių pajėgumais tiekėjas nesiremia, kad atitiktų pirkimo dokumentuose nustatytus kvalifikacijos reikalavimus), privalo turėti teisę verstis ta veikla, kuriai jis pasitelkiamas. </w:t>
            </w:r>
            <w:bookmarkStart w:id="5" w:name="_Hlk151722049"/>
            <w:bookmarkEnd w:id="5"/>
          </w:p>
        </w:tc>
      </w:tr>
    </w:tbl>
    <w:p>
      <w:pPr>
        <w:pStyle w:val="Normal"/>
        <w:spacing w:lineRule="auto" w:line="240" w:before="0" w:after="0"/>
        <w:jc w:val="center"/>
        <w:rPr>
          <w:rFonts w:ascii="Arial" w:hAnsi="Arial" w:cs="Arial"/>
          <w:bCs/>
        </w:rPr>
      </w:pPr>
      <w:r>
        <w:rPr>
          <w:rFonts w:cs="Arial" w:ascii="Arial" w:hAnsi="Arial"/>
          <w:bCs/>
        </w:rPr>
      </w:r>
    </w:p>
    <w:p>
      <w:pPr>
        <w:pStyle w:val="Normal"/>
        <w:spacing w:lineRule="auto" w:line="240" w:before="0" w:after="0"/>
        <w:jc w:val="center"/>
        <w:rPr>
          <w:rFonts w:ascii="Arial" w:hAnsi="Arial" w:cs="Arial"/>
          <w:bCs/>
        </w:rPr>
      </w:pPr>
      <w:r>
        <w:rPr>
          <w:rFonts w:cs="Arial" w:ascii="Arial" w:hAnsi="Arial"/>
          <w:bCs/>
        </w:rPr>
        <w:t>__________________________</w:t>
      </w:r>
    </w:p>
    <w:sectPr>
      <w:headerReference w:type="even" r:id="rId7"/>
      <w:headerReference w:type="default" r:id="rId8"/>
      <w:headerReference w:type="first" r:id="rId9"/>
      <w:footerReference w:type="even" r:id="rId10"/>
      <w:footerReference w:type="default" r:id="rId11"/>
      <w:footerReference w:type="first" r:id="rId12"/>
      <w:footnotePr>
        <w:numFmt w:val="decimal"/>
      </w:footnotePr>
      <w:type w:val="nextPage"/>
      <w:pgSz w:orient="landscape" w:w="16838" w:h="11906"/>
      <w:pgMar w:left="567" w:right="567" w:gutter="0" w:header="1140" w:top="1197" w:footer="714" w:bottom="771"/>
      <w:pgNumType w:fmt="decimal"/>
      <w:formProt w:val="false"/>
      <w:titlePg/>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Helvetica Neue Light">
    <w:charset w:val="00"/>
    <w:family w:val="auto"/>
    <w:pitch w:val="variable"/>
  </w:font>
  <w:font w:name="Calibri">
    <w:charset w:val="00"/>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10</w:t>
        </w:r>
        <w:r>
          <w:rPr>
            <w:rFonts w:cs="Arial" w:ascii="Arial" w:hAnsi="Arial"/>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44466384"/>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1</w:t>
        </w:r>
        <w:r>
          <w:rPr>
            <w:rFonts w:cs="Arial" w:ascii="Arial" w:hAnsi="Arial"/>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i/>
          <w:i/>
          <w:iCs/>
        </w:rPr>
      </w:pPr>
      <w:r>
        <w:rPr>
          <w:rStyle w:val="Inaosramenys"/>
        </w:rPr>
        <w:footnoteRef/>
      </w:r>
      <w:r>
        <w:rPr>
          <w:rFonts w:eastAsia="Yu Mincho" w:cs="Arial" w:ascii="Calibri" w:hAnsi="Calibri"/>
          <w:i/>
          <w:iCs/>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2"/>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2"/>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jc w:val="both"/>
        <w:rPr>
          <w:i/>
          <w:i/>
          <w:iCs/>
        </w:rPr>
      </w:pPr>
      <w:r>
        <w:rPr>
          <w:rStyle w:val="Inaosramenys"/>
        </w:rPr>
        <w:footnoteRef/>
      </w:r>
      <w:r>
        <w:rPr>
          <w:rFonts w:eastAsia="Yu Mincho" w:cs="Arial" w:ascii="Calibri" w:hAnsi="Calibri"/>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3"/>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3"/>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jc w:val="both"/>
        <w:rPr>
          <w:i/>
          <w:i/>
          <w:iCs/>
        </w:rPr>
      </w:pPr>
      <w:r>
        <w:rPr>
          <w:rStyle w:val="Inaosramenys"/>
        </w:rPr>
        <w:footnoteRef/>
      </w:r>
      <w:r>
        <w:rPr>
          <w:rFonts w:eastAsia="Yu Mincho" w:cs="Arial" w:ascii="Calibri" w:hAnsi="Calibri"/>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4"/>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4"/>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rPr>
    </w:pPr>
    <w:r>
      <w:rPr>
        <w:rFonts w:cs="Arial" w:ascii="Arial" w:hAnsi="Arial"/>
      </w:rPr>
      <w:t xml:space="preserve">Atviro konkurso Specialiųjų sąlygų </w:t>
    </w:r>
  </w:p>
  <w:p>
    <w:pPr>
      <w:pStyle w:val="Header"/>
      <w:jc w:val="right"/>
      <w:rPr>
        <w:rFonts w:ascii="Arial" w:hAnsi="Arial" w:cs="Arial"/>
      </w:rPr>
    </w:pPr>
    <w:r>
      <w:rPr>
        <w:rFonts w:cs="Arial" w:ascii="Arial" w:hAnsi="Arial"/>
      </w:rPr>
      <w:t>4 priedas „Reikalavimai tiekėjų kvalifikacijai“</w:t>
    </w:r>
  </w:p>
  <w:p>
    <w:pPr>
      <w:pStyle w:val="Header"/>
      <w:ind w:left="10206"/>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2"/>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40"/>
  <w:trackRevisions/>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0338"/>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ca0338"/>
    <w:rPr/>
  </w:style>
  <w:style w:type="character" w:styleId="PoratDiagrama" w:customStyle="1">
    <w:name w:val="Poraštė Diagrama"/>
    <w:basedOn w:val="DefaultParagraphFont"/>
    <w:uiPriority w:val="99"/>
    <w:qFormat/>
    <w:rsid w:val="00ca0338"/>
    <w:rPr/>
  </w:style>
  <w:style w:type="character" w:styleId="PagrindinistekstasDiagrama" w:customStyle="1">
    <w:name w:val="Pagrindinis tekstas Diagrama"/>
    <w:basedOn w:val="DefaultParagraphFont"/>
    <w:qFormat/>
    <w:rsid w:val="00ca0338"/>
    <w:rPr>
      <w:rFonts w:ascii="Times New Roman" w:hAnsi="Times New Roman" w:eastAsia="Times New Roman" w:cs="Times New Roman"/>
      <w:sz w:val="24"/>
      <w:szCs w:val="24"/>
    </w:rPr>
  </w:style>
  <w:style w:type="character" w:styleId="PuslapioinaostekstasDiagrama" w:customStyle="1">
    <w:name w:val="Puslapio išnašos tekstas Diagrama"/>
    <w:basedOn w:val="DefaultParagraphFont"/>
    <w:qFormat/>
    <w:rsid w:val="00ca0338"/>
    <w:rPr>
      <w:rFonts w:ascii="Times New Roman" w:hAnsi="Times New Roman" w:eastAsia="Times New Roman" w:cs="Times New Roman"/>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basedOn w:val="DefaultParagraphFont"/>
    <w:qFormat/>
    <w:rsid w:val="00ca0338"/>
    <w:rPr>
      <w:vertAlign w:val="superscript"/>
    </w:rPr>
  </w:style>
  <w:style w:type="character" w:styleId="SraopastraipaDiagrama" w:customStyle="1">
    <w:name w:val="Sąrašo pastraipa Diagrama"/>
    <w:basedOn w:val="DefaultParagraphFont"/>
    <w:link w:val="ListParagraph"/>
    <w:uiPriority w:val="34"/>
    <w:qFormat/>
    <w:locked/>
    <w:rsid w:val="00ca0338"/>
    <w:rPr>
      <w:lang w:val="en-US"/>
    </w:rPr>
  </w:style>
  <w:style w:type="character" w:styleId="Heading4" w:customStyle="1">
    <w:name w:val="Heading #4_"/>
    <w:link w:val="Heading41"/>
    <w:qFormat/>
    <w:rsid w:val="00ca0338"/>
    <w:rPr>
      <w:rFonts w:ascii="Times New Roman" w:hAnsi="Times New Roman" w:cs="Times New Roman"/>
      <w:b/>
      <w:bCs/>
      <w:sz w:val="23"/>
      <w:szCs w:val="23"/>
      <w:shd w:fill="FFFFFF" w:val="clear"/>
    </w:rPr>
  </w:style>
  <w:style w:type="character" w:styleId="Bodytext" w:customStyle="1">
    <w:name w:val="Body text_"/>
    <w:link w:val="Bodytext11"/>
    <w:qFormat/>
    <w:rsid w:val="00ca0338"/>
    <w:rPr>
      <w:rFonts w:ascii="Times New Roman" w:hAnsi="Times New Roman" w:cs="Times New Roman"/>
      <w:sz w:val="23"/>
      <w:szCs w:val="23"/>
      <w:shd w:fill="FFFFFF" w:val="clear"/>
    </w:rPr>
  </w:style>
  <w:style w:type="character" w:styleId="Bodytext2" w:customStyle="1">
    <w:name w:val="Body text (2)_"/>
    <w:link w:val="Bodytext21"/>
    <w:qFormat/>
    <w:rsid w:val="00ca0338"/>
    <w:rPr>
      <w:rFonts w:ascii="Times New Roman" w:hAnsi="Times New Roman" w:cs="Times New Roman"/>
      <w:i/>
      <w:iCs/>
      <w:sz w:val="23"/>
      <w:szCs w:val="23"/>
      <w:shd w:fill="FFFFFF" w:val="clear"/>
    </w:rPr>
  </w:style>
  <w:style w:type="character" w:styleId="Bodytext2NotItalic" w:customStyle="1">
    <w:name w:val="Body text (2) + Not Italic"/>
    <w:basedOn w:val="Bodytext2"/>
    <w:qFormat/>
    <w:rsid w:val="00ca0338"/>
    <w:rPr>
      <w:rFonts w:ascii="Times New Roman" w:hAnsi="Times New Roman" w:cs="Times New Roman"/>
      <w:i/>
      <w:iCs/>
      <w:sz w:val="23"/>
      <w:szCs w:val="23"/>
      <w:shd w:fill="FFFFFF" w:val="clear"/>
    </w:rPr>
  </w:style>
  <w:style w:type="character" w:styleId="BodytextSpacing3pt" w:customStyle="1">
    <w:name w:val="Body text + Spacing 3 pt"/>
    <w:qFormat/>
    <w:rsid w:val="00ca0338"/>
    <w:rPr>
      <w:rFonts w:ascii="Times New Roman" w:hAnsi="Times New Roman" w:cs="Times New Roman"/>
      <w:spacing w:val="60"/>
      <w:sz w:val="23"/>
      <w:szCs w:val="23"/>
    </w:rPr>
  </w:style>
  <w:style w:type="character" w:styleId="Laukeliai" w:customStyle="1">
    <w:name w:val="Laukeliai"/>
    <w:uiPriority w:val="1"/>
    <w:qFormat/>
    <w:rsid w:val="00ca0338"/>
    <w:rPr>
      <w:rFonts w:ascii="Arial" w:hAnsi="Arial" w:cs="Arial"/>
      <w:sz w:val="20"/>
    </w:rPr>
  </w:style>
  <w:style w:type="character" w:styleId="CommentReference">
    <w:name w:val="annotation reference"/>
    <w:basedOn w:val="DefaultParagraphFont"/>
    <w:uiPriority w:val="99"/>
    <w:semiHidden/>
    <w:unhideWhenUsed/>
    <w:qFormat/>
    <w:rsid w:val="00ca0338"/>
    <w:rPr>
      <w:sz w:val="16"/>
      <w:szCs w:val="16"/>
    </w:rPr>
  </w:style>
  <w:style w:type="character" w:styleId="KomentarotekstasDiagrama" w:customStyle="1">
    <w:name w:val="Komentaro tekstas Diagrama"/>
    <w:basedOn w:val="DefaultParagraphFont"/>
    <w:uiPriority w:val="99"/>
    <w:qFormat/>
    <w:rsid w:val="00ca0338"/>
    <w:rPr>
      <w:sz w:val="20"/>
      <w:szCs w:val="20"/>
    </w:rPr>
  </w:style>
  <w:style w:type="character" w:styleId="KomentarotemaDiagrama" w:customStyle="1">
    <w:name w:val="Komentaro tema Diagrama"/>
    <w:basedOn w:val="KomentarotekstasDiagrama"/>
    <w:link w:val="annotationsubject"/>
    <w:uiPriority w:val="99"/>
    <w:semiHidden/>
    <w:qFormat/>
    <w:rsid w:val="00ca0338"/>
    <w:rPr>
      <w:b/>
      <w:bCs/>
      <w:sz w:val="20"/>
      <w:szCs w:val="20"/>
    </w:rPr>
  </w:style>
  <w:style w:type="character" w:styleId="DebesliotekstasDiagrama" w:customStyle="1">
    <w:name w:val="Debesėlio tekstas Diagrama"/>
    <w:basedOn w:val="DefaultParagraphFont"/>
    <w:link w:val="BalloonText"/>
    <w:uiPriority w:val="99"/>
    <w:semiHidden/>
    <w:qFormat/>
    <w:rsid w:val="00ca0338"/>
    <w:rPr>
      <w:rFonts w:ascii="Segoe UI" w:hAnsi="Segoe UI" w:cs="Segoe UI"/>
      <w:sz w:val="18"/>
      <w:szCs w:val="18"/>
    </w:rPr>
  </w:style>
  <w:style w:type="character" w:styleId="InternetLink" w:customStyle="1">
    <w:name w:val="Internet Link"/>
    <w:basedOn w:val="DefaultParagraphFont"/>
    <w:uiPriority w:val="99"/>
    <w:unhideWhenUsed/>
    <w:qFormat/>
    <w:rsid w:val="00ca0338"/>
    <w:rPr>
      <w:color w:val="0000FF"/>
      <w:u w:val="single"/>
    </w:rPr>
  </w:style>
  <w:style w:type="character" w:styleId="UnresolvedMention1" w:customStyle="1">
    <w:name w:val="Unresolved Mention1"/>
    <w:basedOn w:val="DefaultParagraphFont"/>
    <w:uiPriority w:val="99"/>
    <w:semiHidden/>
    <w:unhideWhenUsed/>
    <w:qFormat/>
    <w:rsid w:val="00ca0338"/>
    <w:rPr>
      <w:color w:val="808080"/>
      <w:shd w:fill="E6E6E6" w:val="clear"/>
    </w:rPr>
  </w:style>
  <w:style w:type="character" w:styleId="PaprastasistekstasDiagrama" w:customStyle="1">
    <w:name w:val="Paprastasis tekstas Diagrama"/>
    <w:basedOn w:val="DefaultParagraphFont"/>
    <w:link w:val="PlainText"/>
    <w:uiPriority w:val="99"/>
    <w:qFormat/>
    <w:rsid w:val="00ca0338"/>
    <w:rPr>
      <w:rFonts w:ascii="Consolas" w:hAnsi="Consolas" w:eastAsia="Calibri" w:cs="Times New Roman"/>
      <w:sz w:val="21"/>
      <w:szCs w:val="21"/>
      <w:lang w:val="x-none"/>
    </w:rPr>
  </w:style>
  <w:style w:type="character" w:styleId="Emphasis">
    <w:name w:val="Emphasis"/>
    <w:basedOn w:val="DefaultParagraphFont"/>
    <w:uiPriority w:val="20"/>
    <w:qFormat/>
    <w:rsid w:val="00ca0338"/>
    <w:rPr>
      <w:i/>
      <w:iCs/>
    </w:rPr>
  </w:style>
  <w:style w:type="character" w:styleId="Neapdorotaspaminjimas1" w:customStyle="1">
    <w:name w:val="Neapdorotas paminėjimas1"/>
    <w:basedOn w:val="DefaultParagraphFont"/>
    <w:uiPriority w:val="99"/>
    <w:semiHidden/>
    <w:unhideWhenUsed/>
    <w:qFormat/>
    <w:rsid w:val="00ca0338"/>
    <w:rPr>
      <w:color w:val="605E5C"/>
      <w:shd w:fill="E1DFDD" w:val="clear"/>
    </w:rPr>
  </w:style>
  <w:style w:type="character" w:styleId="UnresolvedMention2" w:customStyle="1">
    <w:name w:val="Unresolved Mention2"/>
    <w:basedOn w:val="DefaultParagraphFont"/>
    <w:uiPriority w:val="99"/>
    <w:semiHidden/>
    <w:unhideWhenUsed/>
    <w:qFormat/>
    <w:rsid w:val="00ca0338"/>
    <w:rPr>
      <w:color w:val="605E5C"/>
      <w:shd w:fill="E1DFDD" w:val="clear"/>
    </w:rPr>
  </w:style>
  <w:style w:type="character" w:styleId="BetarpDiagrama" w:customStyle="1">
    <w:name w:val="Be tarpų Diagrama"/>
    <w:basedOn w:val="DefaultParagraphFont"/>
    <w:link w:val="NoSpacing"/>
    <w:uiPriority w:val="1"/>
    <w:qFormat/>
    <w:rsid w:val="00dd14dd"/>
    <w:rPr>
      <w:rFonts w:eastAsia="" w:eastAsiaTheme="minorEastAsia"/>
      <w:sz w:val="21"/>
      <w:szCs w:val="21"/>
      <w:lang w:eastAsia="lt-LT"/>
    </w:rPr>
  </w:style>
  <w:style w:type="character" w:styleId="FollowedHyperlink">
    <w:name w:val="FollowedHyperlink"/>
    <w:basedOn w:val="DefaultParagraphFont"/>
    <w:uiPriority w:val="99"/>
    <w:semiHidden/>
    <w:unhideWhenUsed/>
    <w:rsid w:val="00234306"/>
    <w:rPr>
      <w:color w:themeColor="followedHyperlink" w:val="954F72"/>
      <w:u w:val="single"/>
    </w:rPr>
  </w:style>
  <w:style w:type="character" w:styleId="UnresolvedMention">
    <w:name w:val="Unresolved Mention"/>
    <w:basedOn w:val="DefaultParagraphFont"/>
    <w:uiPriority w:val="99"/>
    <w:semiHidden/>
    <w:unhideWhenUsed/>
    <w:qFormat/>
    <w:rsid w:val="00eb14cc"/>
    <w:rPr>
      <w:color w:val="605E5C"/>
      <w:shd w:fill="E1DFDD" w:val="clear"/>
    </w:rPr>
  </w:style>
  <w:style w:type="character" w:styleId="InternetLink1" w:customStyle="1">
    <w:name w:val="Internet Link1"/>
    <w:qFormat/>
    <w:rPr>
      <w:color w:val="000080"/>
      <w:u w:val="single"/>
    </w:rPr>
  </w:style>
  <w:style w:type="character" w:styleId="Inaosramenys" w:customStyle="1">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EndnoteCharacters11" w:customStyle="1">
    <w:name w:val="Endnote Characters11"/>
    <w:qFormat/>
    <w:rPr>
      <w:vertAlign w:val="superscript"/>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LineNumbering">
    <w:name w:val="Line Numbering"/>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link w:val="PagrindinistekstasDiagrama"/>
    <w:unhideWhenUsed/>
    <w:rsid w:val="00ca0338"/>
    <w:pPr>
      <w:spacing w:lineRule="auto" w:line="240" w:before="0" w:after="120"/>
    </w:pPr>
    <w:rPr>
      <w:rFonts w:ascii="Times New Roman" w:hAnsi="Times New Roman" w:eastAsia="Times New Roman" w:cs="Times New Roman"/>
      <w:sz w:val="24"/>
      <w:szCs w:val="24"/>
    </w:rPr>
  </w:style>
  <w:style w:type="paragraph" w:styleId="List">
    <w:name w:val="List"/>
    <w:basedOn w:val="BodyText1"/>
    <w:pPr/>
    <w:rPr>
      <w:rFonts w:cs="Lucida Sans"/>
    </w:rPr>
  </w:style>
  <w:style w:type="paragraph" w:styleId="Caption">
    <w:name w:val="caption"/>
    <w:basedOn w:val="Normal"/>
    <w:next w:val="BodyText1"/>
    <w:semiHidden/>
    <w:unhideWhenUsed/>
    <w:qFormat/>
    <w:rsid w:val="00ca0338"/>
    <w:pPr>
      <w:spacing w:lineRule="auto" w:line="240" w:before="0" w:after="0"/>
      <w:jc w:val="center"/>
    </w:pPr>
    <w:rPr>
      <w:rFonts w:ascii="Times New Roman" w:hAnsi="Times New Roman" w:eastAsia="Times New Roman" w:cs="Times New Roman"/>
      <w:b/>
      <w:sz w:val="24"/>
      <w:szCs w:val="20"/>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ca0338"/>
    <w:pPr>
      <w:tabs>
        <w:tab w:val="clear" w:pos="1296"/>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ca0338"/>
    <w:pPr>
      <w:tabs>
        <w:tab w:val="clear" w:pos="1296"/>
        <w:tab w:val="center" w:pos="4819" w:leader="none"/>
        <w:tab w:val="right" w:pos="9638" w:leader="none"/>
      </w:tabs>
      <w:spacing w:lineRule="auto" w:line="240" w:before="0" w:after="0"/>
    </w:pPr>
    <w:rPr/>
  </w:style>
  <w:style w:type="paragraph" w:styleId="FootnoteText">
    <w:name w:val="footnote text"/>
    <w:basedOn w:val="Normal"/>
    <w:link w:val="PuslapioinaostekstasDiagrama"/>
    <w:rsid w:val="00ca0338"/>
    <w:pPr>
      <w:spacing w:lineRule="auto" w:line="240" w:before="0" w:after="0"/>
    </w:pPr>
    <w:rPr>
      <w:rFonts w:ascii="Times New Roman" w:hAnsi="Times New Roman" w:eastAsia="Times New Roman" w:cs="Times New Roman"/>
      <w:sz w:val="20"/>
      <w:szCs w:val="20"/>
    </w:rPr>
  </w:style>
  <w:style w:type="paragraph" w:styleId="ListParagraph">
    <w:name w:val="List Paragraph"/>
    <w:basedOn w:val="Normal"/>
    <w:link w:val="SraopastraipaDiagrama"/>
    <w:uiPriority w:val="34"/>
    <w:qFormat/>
    <w:rsid w:val="00ca0338"/>
    <w:pPr>
      <w:spacing w:lineRule="auto" w:line="252" w:before="0" w:after="160"/>
      <w:ind w:left="720"/>
      <w:contextualSpacing/>
    </w:pPr>
    <w:rPr>
      <w:lang w:val="en-US"/>
    </w:rPr>
  </w:style>
  <w:style w:type="paragraph" w:styleId="Heading41" w:customStyle="1">
    <w:name w:val="Heading #4"/>
    <w:basedOn w:val="Normal"/>
    <w:link w:val="Heading4"/>
    <w:qFormat/>
    <w:rsid w:val="00ca0338"/>
    <w:pPr>
      <w:shd w:val="clear" w:color="auto" w:fill="FFFFFF"/>
      <w:spacing w:lineRule="exact" w:line="269" w:before="240" w:after="240"/>
      <w:jc w:val="right"/>
      <w:outlineLvl w:val="3"/>
    </w:pPr>
    <w:rPr>
      <w:rFonts w:ascii="Times New Roman" w:hAnsi="Times New Roman" w:cs="Times New Roman"/>
      <w:b/>
      <w:bCs/>
      <w:sz w:val="23"/>
      <w:szCs w:val="23"/>
    </w:rPr>
  </w:style>
  <w:style w:type="paragraph" w:styleId="Bodytext11" w:customStyle="1">
    <w:name w:val="Body text1"/>
    <w:basedOn w:val="Normal"/>
    <w:link w:val="Bodytext"/>
    <w:qFormat/>
    <w:rsid w:val="00ca0338"/>
    <w:pPr>
      <w:shd w:val="clear" w:color="auto" w:fill="FFFFFF"/>
      <w:spacing w:lineRule="exact" w:line="274" w:before="240" w:after="240"/>
      <w:ind w:hanging="1060"/>
    </w:pPr>
    <w:rPr>
      <w:rFonts w:ascii="Times New Roman" w:hAnsi="Times New Roman" w:cs="Times New Roman"/>
      <w:sz w:val="23"/>
      <w:szCs w:val="23"/>
    </w:rPr>
  </w:style>
  <w:style w:type="paragraph" w:styleId="Bodytext21" w:customStyle="1">
    <w:name w:val="Body text (2)"/>
    <w:basedOn w:val="Normal"/>
    <w:link w:val="Bodytext2"/>
    <w:qFormat/>
    <w:rsid w:val="00ca0338"/>
    <w:pPr>
      <w:shd w:val="clear" w:color="auto" w:fill="FFFFFF"/>
      <w:spacing w:lineRule="exact" w:line="269" w:before="0" w:after="0"/>
      <w:ind w:hanging="400"/>
    </w:pPr>
    <w:rPr>
      <w:rFonts w:ascii="Times New Roman" w:hAnsi="Times New Roman" w:cs="Times New Roman"/>
      <w:i/>
      <w:iCs/>
      <w:sz w:val="23"/>
      <w:szCs w:val="23"/>
    </w:rPr>
  </w:style>
  <w:style w:type="paragraph" w:styleId="CentrBoldm" w:customStyle="1">
    <w:name w:val="CentrBoldm"/>
    <w:basedOn w:val="Normal"/>
    <w:qFormat/>
    <w:rsid w:val="00ca0338"/>
    <w:pPr>
      <w:spacing w:lineRule="auto" w:line="240" w:before="0" w:after="0"/>
      <w:jc w:val="center"/>
    </w:pPr>
    <w:rPr>
      <w:rFonts w:ascii="TimesLT" w:hAnsi="TimesLT" w:eastAsia="Times New Roman" w:cs="Times New Roman"/>
      <w:b/>
      <w:bCs/>
      <w:sz w:val="20"/>
      <w:szCs w:val="20"/>
      <w:lang w:val="en-US"/>
    </w:rPr>
  </w:style>
  <w:style w:type="paragraph" w:styleId="CommentText">
    <w:name w:val="annotation text"/>
    <w:basedOn w:val="Normal"/>
    <w:link w:val="KomentarotekstasDiagrama"/>
    <w:uiPriority w:val="99"/>
    <w:unhideWhenUsed/>
    <w:rsid w:val="00ca0338"/>
    <w:pPr>
      <w:spacing w:lineRule="auto" w:line="240" w:before="0" w:after="160"/>
    </w:pPr>
    <w:rPr>
      <w:sz w:val="20"/>
      <w:szCs w:val="20"/>
    </w:rPr>
  </w:style>
  <w:style w:type="paragraph" w:styleId="annotationsubject">
    <w:name w:val="annotation subject"/>
    <w:basedOn w:val="CommentText"/>
    <w:next w:val="CommentText"/>
    <w:link w:val="KomentarotemaDiagrama"/>
    <w:uiPriority w:val="99"/>
    <w:semiHidden/>
    <w:unhideWhenUsed/>
    <w:qFormat/>
    <w:rsid w:val="00ca0338"/>
    <w:pPr/>
    <w:rPr>
      <w:b/>
      <w:bCs/>
    </w:rPr>
  </w:style>
  <w:style w:type="paragraph" w:styleId="BalloonText">
    <w:name w:val="Balloon Text"/>
    <w:basedOn w:val="Normal"/>
    <w:link w:val="DebesliotekstasDiagrama"/>
    <w:uiPriority w:val="99"/>
    <w:semiHidden/>
    <w:unhideWhenUsed/>
    <w:qFormat/>
    <w:rsid w:val="00ca0338"/>
    <w:pPr>
      <w:spacing w:lineRule="auto" w:line="240" w:before="0" w:after="0"/>
    </w:pPr>
    <w:rPr>
      <w:rFonts w:ascii="Segoe UI" w:hAnsi="Segoe UI" w:cs="Segoe UI"/>
      <w:sz w:val="18"/>
      <w:szCs w:val="18"/>
    </w:rPr>
  </w:style>
  <w:style w:type="paragraph" w:styleId="PlainText">
    <w:name w:val="Plain Text"/>
    <w:basedOn w:val="Normal"/>
    <w:link w:val="PaprastasistekstasDiagrama"/>
    <w:uiPriority w:val="99"/>
    <w:unhideWhenUsed/>
    <w:qFormat/>
    <w:rsid w:val="00ca0338"/>
    <w:pPr>
      <w:spacing w:lineRule="auto" w:line="240" w:before="0" w:after="0"/>
    </w:pPr>
    <w:rPr>
      <w:rFonts w:ascii="Consolas" w:hAnsi="Consolas" w:eastAsia="Calibri" w:cs="Times New Roman"/>
      <w:sz w:val="21"/>
      <w:szCs w:val="21"/>
      <w:lang w:val="x-none"/>
    </w:rPr>
  </w:style>
  <w:style w:type="paragraph" w:styleId="Default" w:customStyle="1">
    <w:name w:val="Default"/>
    <w:qFormat/>
    <w:rsid w:val="00ca0338"/>
    <w:pPr>
      <w:widowControl/>
      <w:suppressAutoHyphens w:val="true"/>
      <w:bidi w:val="0"/>
      <w:spacing w:before="0" w:after="0"/>
      <w:jc w:val="left"/>
    </w:pPr>
    <w:rPr>
      <w:rFonts w:ascii="Times New Roman" w:hAnsi="Times New Roman" w:eastAsia="Calibri" w:cs="Times New Roman"/>
      <w:color w:val="000000"/>
      <w:kern w:val="0"/>
      <w:sz w:val="24"/>
      <w:szCs w:val="24"/>
      <w:lang w:val="lt-LT" w:eastAsia="en-US" w:bidi="ar-SA"/>
    </w:rPr>
  </w:style>
  <w:style w:type="paragraph" w:styleId="BodyA" w:customStyle="1">
    <w:name w:val="Body A"/>
    <w:qFormat/>
    <w:rsid w:val="00ca0338"/>
    <w:pPr>
      <w:widowControl/>
      <w:suppressAutoHyphens w:val="true"/>
      <w:bidi w:val="0"/>
      <w:spacing w:lineRule="auto" w:line="312" w:before="0" w:after="0"/>
      <w:jc w:val="left"/>
    </w:pPr>
    <w:rPr>
      <w:rFonts w:ascii="Helvetica Neue Light" w:hAnsi="Helvetica Neue Light" w:eastAsia="Helvetica Neue Light" w:cs="Helvetica Neue Light"/>
      <w:color w:val="000000"/>
      <w:kern w:val="0"/>
      <w:sz w:val="20"/>
      <w:szCs w:val="20"/>
      <w:u w:val="none" w:color="000000"/>
      <w:lang w:val="en-US" w:eastAsia="en-GB" w:bidi="ar-SA"/>
      <w14:textOutline w14:w="12700" w14:cap="flat" w14:cmpd="sng" w14:algn="ctr">
        <w14:noFill/>
        <w14:prstDash w14:val="solid"/>
        <w14:miter w14:lim="100000"/>
      </w14:textOutline>
    </w:rPr>
  </w:style>
  <w:style w:type="paragraph" w:styleId="NoSpacing">
    <w:name w:val="No Spacing"/>
    <w:link w:val="BetarpDiagrama"/>
    <w:uiPriority w:val="1"/>
    <w:qFormat/>
    <w:rsid w:val="00dd14dd"/>
    <w:pPr>
      <w:widowControl/>
      <w:suppressAutoHyphens w:val="true"/>
      <w:bidi w:val="0"/>
      <w:spacing w:before="0" w:after="0"/>
      <w:jc w:val="left"/>
    </w:pPr>
    <w:rPr>
      <w:rFonts w:ascii="Calibri" w:hAnsi="Calibri" w:eastAsia="" w:eastAsiaTheme="minorEastAsia" w:cs=""/>
      <w:color w:val="auto"/>
      <w:kern w:val="0"/>
      <w:sz w:val="21"/>
      <w:szCs w:val="21"/>
      <w:lang w:eastAsia="lt-LT" w:val="lt-LT" w:bidi="ar-SA"/>
    </w:rPr>
  </w:style>
  <w:style w:type="paragraph" w:styleId="Kadroturinys" w:customStyle="1">
    <w:name w:val="Kadro turinys"/>
    <w:basedOn w:val="Normal"/>
    <w:qFormat/>
    <w:pPr/>
    <w:rPr/>
  </w:style>
  <w:style w:type="paragraph" w:styleId="Revision">
    <w:name w:val="Revision"/>
    <w:uiPriority w:val="99"/>
    <w:semiHidden/>
    <w:qFormat/>
    <w:rsid w:val="001c2161"/>
    <w:pPr>
      <w:widowControl/>
      <w:suppressAutoHyphens w:val="fals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ca0338"/>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lt/nuorodos/kiti-duomenys/powerbi/nepatikimi-tiekejai-1/" TargetMode="External"/><Relationship Id="rId4" Type="http://schemas.openxmlformats.org/officeDocument/2006/relationships/hyperlink" Target="https://vpt.lrv.lt/lt/pasalinimo-pagrindai-1/nepatikimu-koncesininku-sarasas-1/nepatikimu-koncesininku-sarasas/" TargetMode="External"/><Relationship Id="rId5" Type="http://schemas.openxmlformats.org/officeDocument/2006/relationships/hyperlink" Target="https://www.registrucentras.lt/jar/p/index.php" TargetMode="External"/><Relationship Id="rId6" Type="http://schemas.openxmlformats.org/officeDocument/2006/relationships/hyperlink" Target="https://www.vmi.lt/evmi/mokesciu-moketoju-informacija"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Application>LibreOffice/24.8.0.3$Windows_X86_64 LibreOffice_project/0bdf1299c94fe897b119f97f3c613e9dca6be583</Application>
  <AppVersion>15.0000</AppVersion>
  <Pages>10</Pages>
  <Words>3066</Words>
  <Characters>22046</Characters>
  <CharactersWithSpaces>24944</CharactersWithSpaces>
  <Paragraphs>179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2026-06-10T05:58:00Z</dcterms:created>
  <dc:creator>Audra Trojanienė | VMU</dc:creator>
  <dc:description/>
  <dc:language>lt-LT</dc:language>
  <cp:lastModifiedBy/>
  <dcterms:modified xsi:type="dcterms:W3CDTF">2026-06-17T14:56:19Z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